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E57685"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464E9">
        <w:rPr>
          <w:rFonts w:ascii="Times New Roman" w:hAnsi="Times New Roman"/>
        </w:rPr>
        <w:t>30</w:t>
      </w:r>
      <w:r w:rsidR="00B31E5E">
        <w:rPr>
          <w:rFonts w:ascii="Times New Roman" w:hAnsi="Times New Roman"/>
        </w:rPr>
        <w:t>»</w:t>
      </w:r>
      <w:r>
        <w:rPr>
          <w:rFonts w:ascii="Times New Roman" w:hAnsi="Times New Roman"/>
        </w:rPr>
        <w:t xml:space="preserve"> </w:t>
      </w:r>
      <w:r w:rsidR="00E57685">
        <w:rPr>
          <w:rFonts w:ascii="Times New Roman" w:hAnsi="Times New Roman"/>
        </w:rPr>
        <w:t>января</w:t>
      </w:r>
      <w:r>
        <w:rPr>
          <w:rFonts w:ascii="Times New Roman" w:hAnsi="Times New Roman"/>
        </w:rPr>
        <w:t xml:space="preserve"> </w:t>
      </w:r>
      <w:r w:rsidR="00025754">
        <w:rPr>
          <w:rFonts w:ascii="Times New Roman" w:hAnsi="Times New Roman"/>
        </w:rPr>
        <w:t>201</w:t>
      </w:r>
      <w:r w:rsidR="00E57685">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E57685">
        <w:rPr>
          <w:rFonts w:ascii="Times New Roman" w:hAnsi="Times New Roman"/>
          <w:b/>
          <w:bCs/>
          <w:sz w:val="24"/>
          <w:szCs w:val="24"/>
        </w:rPr>
        <w:t>0</w:t>
      </w:r>
      <w:r w:rsidR="00D60C41">
        <w:rPr>
          <w:rFonts w:ascii="Times New Roman" w:hAnsi="Times New Roman"/>
          <w:b/>
          <w:bCs/>
          <w:sz w:val="24"/>
          <w:szCs w:val="24"/>
        </w:rPr>
        <w:t>2</w:t>
      </w:r>
    </w:p>
    <w:p w:rsidR="002D6633" w:rsidRPr="000459A9" w:rsidRDefault="002D6633" w:rsidP="00D73DAF">
      <w:pPr>
        <w:spacing w:after="0" w:line="240" w:lineRule="auto"/>
        <w:jc w:val="center"/>
        <w:rPr>
          <w:rFonts w:ascii="Times New Roman" w:hAnsi="Times New Roman"/>
          <w:b/>
          <w:bCs/>
          <w:sz w:val="24"/>
          <w:szCs w:val="24"/>
        </w:rPr>
      </w:pPr>
    </w:p>
    <w:p w:rsidR="00D60C41" w:rsidRPr="00D73DAF" w:rsidRDefault="00D60C41" w:rsidP="00D73DAF">
      <w:pPr>
        <w:jc w:val="center"/>
        <w:rPr>
          <w:rFonts w:ascii="Times New Roman" w:hAnsi="Times New Roman"/>
          <w:b/>
          <w:sz w:val="24"/>
          <w:szCs w:val="24"/>
        </w:rPr>
      </w:pPr>
      <w:r>
        <w:rPr>
          <w:rFonts w:ascii="Times New Roman" w:hAnsi="Times New Roman"/>
          <w:b/>
        </w:rPr>
        <w:t>Поставка</w:t>
      </w:r>
      <w:r w:rsidR="00290221" w:rsidRPr="00BD7606">
        <w:rPr>
          <w:rFonts w:ascii="Times New Roman" w:hAnsi="Times New Roman"/>
          <w:b/>
        </w:rPr>
        <w:t xml:space="preserve"> </w:t>
      </w:r>
      <w:r>
        <w:rPr>
          <w:rFonts w:ascii="Times New Roman" w:hAnsi="Times New Roman"/>
          <w:b/>
          <w:sz w:val="24"/>
          <w:szCs w:val="24"/>
        </w:rPr>
        <w:t>з</w:t>
      </w:r>
      <w:r w:rsidRPr="00D60C41">
        <w:rPr>
          <w:rFonts w:ascii="Times New Roman" w:hAnsi="Times New Roman"/>
          <w:b/>
          <w:sz w:val="24"/>
          <w:szCs w:val="24"/>
        </w:rPr>
        <w:t xml:space="preserve">апасных частей для КГУ </w:t>
      </w:r>
      <w:r w:rsidRPr="00D60C41">
        <w:rPr>
          <w:rFonts w:ascii="Times New Roman" w:hAnsi="Times New Roman"/>
          <w:b/>
          <w:sz w:val="24"/>
          <w:szCs w:val="24"/>
          <w:lang w:val="en-US"/>
        </w:rPr>
        <w:t>IMC</w:t>
      </w:r>
      <w:r w:rsidRPr="00D60C41">
        <w:rPr>
          <w:rFonts w:ascii="Times New Roman" w:hAnsi="Times New Roman"/>
          <w:b/>
          <w:sz w:val="24"/>
          <w:szCs w:val="24"/>
        </w:rPr>
        <w:t xml:space="preserve"> </w:t>
      </w:r>
      <w:r w:rsidRPr="00D60C41">
        <w:rPr>
          <w:rFonts w:ascii="Times New Roman" w:hAnsi="Times New Roman"/>
          <w:b/>
          <w:sz w:val="24"/>
          <w:szCs w:val="24"/>
          <w:lang w:val="en-US"/>
        </w:rPr>
        <w:t>GS</w:t>
      </w:r>
      <w:r w:rsidRPr="00D60C41">
        <w:rPr>
          <w:rFonts w:ascii="Times New Roman" w:hAnsi="Times New Roman"/>
          <w:b/>
          <w:sz w:val="24"/>
          <w:szCs w:val="24"/>
        </w:rPr>
        <w:t>-</w:t>
      </w:r>
      <w:r w:rsidRPr="00D60C41">
        <w:rPr>
          <w:rFonts w:ascii="Times New Roman" w:hAnsi="Times New Roman"/>
          <w:b/>
          <w:sz w:val="24"/>
          <w:szCs w:val="24"/>
          <w:lang w:val="en-US"/>
        </w:rPr>
        <w:t>NLC</w:t>
      </w:r>
      <w:r w:rsidRPr="00D60C41">
        <w:rPr>
          <w:rFonts w:ascii="Times New Roman" w:hAnsi="Times New Roman"/>
          <w:b/>
          <w:sz w:val="24"/>
          <w:szCs w:val="24"/>
        </w:rPr>
        <w:t xml:space="preserve">  мотор №4369221, агрегат №4373311 выпуск: октябрь 2005г. </w:t>
      </w:r>
      <w:proofErr w:type="spellStart"/>
      <w:r w:rsidRPr="00D60C41">
        <w:rPr>
          <w:rFonts w:ascii="Times New Roman" w:hAnsi="Times New Roman"/>
          <w:b/>
          <w:sz w:val="24"/>
          <w:szCs w:val="24"/>
          <w:lang w:val="en-US"/>
        </w:rPr>
        <w:t>Kesselhaus</w:t>
      </w:r>
      <w:proofErr w:type="spellEnd"/>
      <w:r w:rsidRPr="00D60C41">
        <w:rPr>
          <w:rFonts w:ascii="Times New Roman" w:hAnsi="Times New Roman"/>
          <w:b/>
          <w:sz w:val="24"/>
          <w:szCs w:val="24"/>
        </w:rPr>
        <w:t xml:space="preserve"> </w:t>
      </w:r>
      <w:r w:rsidRPr="00D60C41">
        <w:rPr>
          <w:rFonts w:ascii="Times New Roman" w:hAnsi="Times New Roman"/>
          <w:b/>
          <w:sz w:val="24"/>
          <w:szCs w:val="24"/>
          <w:lang w:val="en-US"/>
        </w:rPr>
        <w:t>Vyborg</w:t>
      </w:r>
      <w:r w:rsidR="00D73DAF">
        <w:rPr>
          <w:rFonts w:ascii="Times New Roman" w:hAnsi="Times New Roman"/>
          <w:b/>
          <w:sz w:val="24"/>
          <w:szCs w:val="24"/>
        </w:rPr>
        <w:t>.</w:t>
      </w:r>
    </w:p>
    <w:p w:rsidR="009336B5" w:rsidRPr="00C843E5" w:rsidRDefault="009336B5" w:rsidP="00C843E5">
      <w:pPr>
        <w:jc w:val="center"/>
        <w:rPr>
          <w:rFonts w:ascii="Times New Roman" w:hAnsi="Times New Roman"/>
          <w:b/>
          <w:sz w:val="24"/>
          <w:szCs w:val="24"/>
        </w:rPr>
      </w:pP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E57685">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E57685">
        <w:rPr>
          <w:rFonts w:ascii="Times New Roman" w:hAnsi="Times New Roman"/>
          <w:b/>
          <w:snapToGrid w:val="0"/>
          <w:szCs w:val="24"/>
        </w:rPr>
        <w:t>0</w:t>
      </w:r>
      <w:r w:rsidR="00884C3E">
        <w:rPr>
          <w:rFonts w:ascii="Times New Roman" w:hAnsi="Times New Roman"/>
          <w:b/>
          <w:snapToGrid w:val="0"/>
          <w:szCs w:val="24"/>
        </w:rPr>
        <w:t>2</w:t>
      </w:r>
      <w:r w:rsidRPr="00465E26">
        <w:rPr>
          <w:rFonts w:ascii="Times New Roman" w:hAnsi="Times New Roman"/>
          <w:b/>
          <w:snapToGrid w:val="0"/>
          <w:szCs w:val="24"/>
        </w:rPr>
        <w:t>-1</w:t>
      </w:r>
      <w:r w:rsidR="00E57685">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E57685">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E57685">
        <w:rPr>
          <w:rFonts w:ascii="Times New Roman" w:hAnsi="Times New Roman"/>
          <w:snapToGrid w:val="0"/>
          <w:sz w:val="24"/>
          <w:szCs w:val="24"/>
        </w:rPr>
        <w:t>А</w:t>
      </w:r>
      <w:r>
        <w:rPr>
          <w:rFonts w:ascii="Times New Roman" w:hAnsi="Times New Roman"/>
          <w:snapToGrid w:val="0"/>
          <w:sz w:val="24"/>
          <w:szCs w:val="24"/>
        </w:rPr>
        <w:t>.</w:t>
      </w:r>
      <w:r w:rsidR="00E57685">
        <w:rPr>
          <w:rFonts w:ascii="Times New Roman" w:hAnsi="Times New Roman"/>
          <w:snapToGrid w:val="0"/>
          <w:sz w:val="24"/>
          <w:szCs w:val="24"/>
        </w:rPr>
        <w:t>Б</w:t>
      </w:r>
      <w:r>
        <w:rPr>
          <w:rFonts w:ascii="Times New Roman" w:hAnsi="Times New Roman"/>
          <w:snapToGrid w:val="0"/>
          <w:sz w:val="24"/>
          <w:szCs w:val="24"/>
        </w:rPr>
        <w:t xml:space="preserve">. </w:t>
      </w:r>
      <w:r w:rsidR="00E57685">
        <w:rPr>
          <w:rFonts w:ascii="Times New Roman" w:hAnsi="Times New Roman"/>
          <w:snapToGrid w:val="0"/>
          <w:sz w:val="24"/>
          <w:szCs w:val="24"/>
        </w:rPr>
        <w:t>Кондрашов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884C3E" w:rsidP="00BA3AD5">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  </w:t>
      </w:r>
      <w:r w:rsidR="00BA3AD5" w:rsidRPr="005849D6">
        <w:rPr>
          <w:rFonts w:ascii="Times New Roman" w:hAnsi="Times New Roman"/>
          <w:spacing w:val="-1"/>
          <w:sz w:val="24"/>
          <w:szCs w:val="24"/>
        </w:rPr>
        <w:t xml:space="preserve">«Поставщик» обязуется поставить «Покупателю» </w:t>
      </w:r>
      <w:r w:rsidRPr="00884C3E">
        <w:rPr>
          <w:rFonts w:ascii="Times New Roman" w:hAnsi="Times New Roman"/>
          <w:sz w:val="24"/>
          <w:szCs w:val="24"/>
        </w:rPr>
        <w:t xml:space="preserve">запасные части для КГУ </w:t>
      </w:r>
      <w:r w:rsidRPr="00884C3E">
        <w:rPr>
          <w:rFonts w:ascii="Times New Roman" w:hAnsi="Times New Roman"/>
          <w:sz w:val="24"/>
          <w:szCs w:val="24"/>
          <w:lang w:val="en-US"/>
        </w:rPr>
        <w:t>IMC</w:t>
      </w:r>
      <w:r w:rsidRPr="00884C3E">
        <w:rPr>
          <w:rFonts w:ascii="Times New Roman" w:hAnsi="Times New Roman"/>
          <w:sz w:val="24"/>
          <w:szCs w:val="24"/>
        </w:rPr>
        <w:t xml:space="preserve"> </w:t>
      </w:r>
      <w:r w:rsidRPr="00884C3E">
        <w:rPr>
          <w:rFonts w:ascii="Times New Roman" w:hAnsi="Times New Roman"/>
          <w:sz w:val="24"/>
          <w:szCs w:val="24"/>
          <w:lang w:val="en-US"/>
        </w:rPr>
        <w:t>GS</w:t>
      </w:r>
      <w:r w:rsidRPr="00884C3E">
        <w:rPr>
          <w:rFonts w:ascii="Times New Roman" w:hAnsi="Times New Roman"/>
          <w:sz w:val="24"/>
          <w:szCs w:val="24"/>
        </w:rPr>
        <w:t>-</w:t>
      </w:r>
      <w:r w:rsidRPr="00884C3E">
        <w:rPr>
          <w:rFonts w:ascii="Times New Roman" w:hAnsi="Times New Roman"/>
          <w:sz w:val="24"/>
          <w:szCs w:val="24"/>
          <w:lang w:val="en-US"/>
        </w:rPr>
        <w:t>NLC</w:t>
      </w:r>
      <w:r w:rsidRPr="00884C3E">
        <w:rPr>
          <w:rFonts w:ascii="Times New Roman" w:hAnsi="Times New Roman"/>
          <w:sz w:val="24"/>
          <w:szCs w:val="24"/>
        </w:rPr>
        <w:t>:  мотор №4369221, агрегат №4373311 выпуск: октябрь 2005г. «</w:t>
      </w:r>
      <w:proofErr w:type="spellStart"/>
      <w:r w:rsidRPr="00884C3E">
        <w:rPr>
          <w:rFonts w:ascii="Times New Roman" w:hAnsi="Times New Roman"/>
          <w:sz w:val="24"/>
          <w:szCs w:val="24"/>
          <w:lang w:val="en-US"/>
        </w:rPr>
        <w:t>Kesselhaus</w:t>
      </w:r>
      <w:proofErr w:type="spellEnd"/>
      <w:r w:rsidRPr="00884C3E">
        <w:rPr>
          <w:rFonts w:ascii="Times New Roman" w:hAnsi="Times New Roman"/>
          <w:sz w:val="24"/>
          <w:szCs w:val="24"/>
        </w:rPr>
        <w:t xml:space="preserve"> </w:t>
      </w:r>
      <w:r w:rsidRPr="00884C3E">
        <w:rPr>
          <w:rFonts w:ascii="Times New Roman" w:hAnsi="Times New Roman"/>
          <w:sz w:val="24"/>
          <w:szCs w:val="24"/>
          <w:lang w:val="en-US"/>
        </w:rPr>
        <w:t>Vyborg</w:t>
      </w:r>
      <w:r w:rsidRPr="00884C3E">
        <w:rPr>
          <w:rFonts w:ascii="Times New Roman" w:hAnsi="Times New Roman"/>
          <w:sz w:val="24"/>
          <w:szCs w:val="24"/>
        </w:rPr>
        <w:t>»</w:t>
      </w:r>
      <w:r w:rsidR="00020059" w:rsidRPr="00884C3E">
        <w:rPr>
          <w:rFonts w:ascii="Times New Roman" w:hAnsi="Times New Roman"/>
          <w:sz w:val="24"/>
          <w:szCs w:val="24"/>
        </w:rPr>
        <w:t xml:space="preserve"> </w:t>
      </w:r>
      <w:r w:rsidR="00BA3AD5" w:rsidRPr="005849D6">
        <w:rPr>
          <w:rFonts w:ascii="Times New Roman" w:hAnsi="Times New Roman"/>
          <w:sz w:val="24"/>
          <w:szCs w:val="24"/>
        </w:rPr>
        <w:t>в соответствии с Техническим заданием</w:t>
      </w:r>
      <w:r w:rsidR="00BA3AD5" w:rsidRPr="005849D6">
        <w:rPr>
          <w:rFonts w:ascii="Times New Roman" w:hAnsi="Times New Roman"/>
          <w:spacing w:val="-1"/>
          <w:sz w:val="24"/>
          <w:szCs w:val="24"/>
        </w:rPr>
        <w:t xml:space="preserve"> </w:t>
      </w:r>
      <w:r w:rsidR="00BA3AD5" w:rsidRPr="005849D6">
        <w:rPr>
          <w:rFonts w:ascii="Times New Roman" w:hAnsi="Times New Roman"/>
          <w:sz w:val="24"/>
          <w:szCs w:val="24"/>
        </w:rPr>
        <w:t>(Приложение № 1)</w:t>
      </w:r>
      <w:r w:rsidR="00BA3AD5" w:rsidRPr="005849D6">
        <w:rPr>
          <w:rFonts w:ascii="Times New Roman" w:hAnsi="Times New Roman"/>
          <w:spacing w:val="-1"/>
          <w:sz w:val="24"/>
          <w:szCs w:val="24"/>
        </w:rPr>
        <w:t xml:space="preserve"> (далее по тексту - </w:t>
      </w:r>
      <w:r w:rsidR="00BA3AD5"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00BA3AD5"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D73DAF">
        <w:rPr>
          <w:rFonts w:ascii="Times New Roman" w:hAnsi="Times New Roman"/>
          <w:bCs/>
          <w:sz w:val="24"/>
          <w:szCs w:val="24"/>
          <w:u w:val="single"/>
        </w:rPr>
        <w:t>5</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sidR="00D73DAF">
        <w:rPr>
          <w:rFonts w:ascii="Times New Roman" w:hAnsi="Times New Roman"/>
          <w:sz w:val="24"/>
          <w:szCs w:val="24"/>
        </w:rPr>
        <w:t>14 рабочих</w:t>
      </w:r>
      <w:r w:rsidRPr="005849D6">
        <w:rPr>
          <w:rFonts w:ascii="Times New Roman" w:hAnsi="Times New Roman"/>
          <w:sz w:val="24"/>
          <w:szCs w:val="24"/>
        </w:rPr>
        <w:t xml:space="preserve"> дней с момента передачи товара Покупателю, при условии выставления счета Поставщиком.</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BD7606" w:rsidRPr="005849D6">
        <w:rPr>
          <w:rFonts w:ascii="Times New Roman" w:eastAsia="Lucida Sans Unicode" w:hAnsi="Times New Roman"/>
          <w:kern w:val="2"/>
          <w:sz w:val="24"/>
          <w:szCs w:val="24"/>
          <w:lang w:eastAsia="hi-IN" w:bidi="hi-IN"/>
        </w:rPr>
        <w:t>Санкт-Петербург</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  Сроки поставки </w:t>
      </w:r>
      <w:r w:rsidR="00E57685">
        <w:rPr>
          <w:rFonts w:ascii="Times New Roman" w:hAnsi="Times New Roman"/>
          <w:bCs/>
          <w:sz w:val="24"/>
          <w:szCs w:val="24"/>
        </w:rPr>
        <w:t xml:space="preserve">не позднее </w:t>
      </w:r>
      <w:r w:rsidR="00D73DAF">
        <w:rPr>
          <w:rFonts w:ascii="Times New Roman" w:hAnsi="Times New Roman"/>
          <w:bCs/>
          <w:sz w:val="24"/>
          <w:szCs w:val="24"/>
        </w:rPr>
        <w:t>7-8</w:t>
      </w:r>
      <w:r w:rsidR="00003C96" w:rsidRPr="005849D6">
        <w:rPr>
          <w:rFonts w:ascii="Times New Roman" w:hAnsi="Times New Roman"/>
          <w:bCs/>
          <w:sz w:val="24"/>
          <w:szCs w:val="24"/>
        </w:rPr>
        <w:t xml:space="preserve"> </w:t>
      </w:r>
      <w:r w:rsidR="00D73DAF">
        <w:rPr>
          <w:rFonts w:ascii="Times New Roman" w:hAnsi="Times New Roman"/>
          <w:bCs/>
          <w:sz w:val="24"/>
          <w:szCs w:val="24"/>
        </w:rPr>
        <w:t>недель</w:t>
      </w:r>
      <w:r w:rsidR="00BD7606" w:rsidRPr="005849D6">
        <w:rPr>
          <w:rFonts w:ascii="Times New Roman" w:hAnsi="Times New Roman"/>
          <w:bCs/>
          <w:sz w:val="24"/>
          <w:szCs w:val="24"/>
        </w:rPr>
        <w:t xml:space="preserve"> после предварительной оплаты</w:t>
      </w:r>
      <w:r w:rsidRPr="005849D6">
        <w:rPr>
          <w:rFonts w:ascii="Times New Roman" w:hAnsi="Times New Roman"/>
          <w:sz w:val="24"/>
          <w:szCs w:val="24"/>
        </w:rPr>
        <w:t>.</w:t>
      </w:r>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Место поставки </w:t>
      </w:r>
      <w:r w:rsidR="00D73DAF">
        <w:rPr>
          <w:rFonts w:ascii="Times New Roman" w:hAnsi="Times New Roman"/>
          <w:bCs/>
          <w:sz w:val="24"/>
          <w:szCs w:val="24"/>
        </w:rPr>
        <w:t>самовывоз со склада «Поставщика» (Санкт-Петербург)</w:t>
      </w:r>
      <w:r w:rsidR="00E57685">
        <w:rPr>
          <w:rFonts w:ascii="Times New Roman" w:hAnsi="Times New Roman"/>
          <w:bCs/>
          <w:sz w:val="24"/>
          <w:szCs w:val="24"/>
        </w:rPr>
        <w:t>.</w:t>
      </w:r>
    </w:p>
    <w:p w:rsidR="00BA3AD5" w:rsidRPr="005849D6" w:rsidRDefault="00BA3AD5" w:rsidP="00BA3AD5">
      <w:pPr>
        <w:pStyle w:val="aff3"/>
        <w:numPr>
          <w:ilvl w:val="1"/>
          <w:numId w:val="46"/>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Pr="00465E26">
        <w:rPr>
          <w:rFonts w:ascii="Times New Roman" w:hAnsi="Times New Roman"/>
          <w:spacing w:val="-1"/>
          <w:szCs w:val="24"/>
        </w:rPr>
        <w:lastRenderedPageBreak/>
        <w:t xml:space="preserve">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Style3"/>
        <w:widowControl/>
        <w:numPr>
          <w:ilvl w:val="0"/>
          <w:numId w:val="38"/>
        </w:numPr>
        <w:tabs>
          <w:tab w:val="left" w:pos="384"/>
        </w:tabs>
        <w:spacing w:line="269" w:lineRule="exact"/>
        <w:jc w:val="both"/>
        <w:rPr>
          <w:rStyle w:val="FontStyle17"/>
          <w:sz w:val="18"/>
        </w:rPr>
      </w:pPr>
      <w:r w:rsidRPr="00465E26">
        <w:rPr>
          <w:sz w:val="22"/>
        </w:rP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465E26">
        <w:rPr>
          <w:sz w:val="22"/>
        </w:rPr>
        <w:t xml:space="preserve"> .</w:t>
      </w:r>
      <w:proofErr w:type="gramEnd"/>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E57685" w:rsidP="00E57685">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830282" w:rsidRPr="00465E26" w:rsidRDefault="007B12BD" w:rsidP="00E57685">
      <w:pPr>
        <w:pageBreakBefore/>
        <w:shd w:val="clear" w:color="auto" w:fill="FFFFFF"/>
        <w:spacing w:after="0"/>
        <w:rPr>
          <w:rFonts w:ascii="Times New Roman" w:hAnsi="Times New Roman"/>
          <w:spacing w:val="-5"/>
          <w:szCs w:val="24"/>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E57685">
        <w:rPr>
          <w:rFonts w:ascii="Times New Roman" w:hAnsi="Times New Roman"/>
          <w:b/>
          <w:sz w:val="18"/>
          <w:szCs w:val="20"/>
        </w:rPr>
        <w:t>0</w:t>
      </w:r>
      <w:r w:rsidR="00D73DAF">
        <w:rPr>
          <w:rFonts w:ascii="Times New Roman" w:hAnsi="Times New Roman"/>
          <w:b/>
          <w:sz w:val="18"/>
          <w:szCs w:val="20"/>
        </w:rPr>
        <w:t>2</w:t>
      </w:r>
      <w:r w:rsidRPr="00465E26">
        <w:rPr>
          <w:rFonts w:ascii="Times New Roman" w:hAnsi="Times New Roman"/>
          <w:b/>
          <w:sz w:val="18"/>
          <w:szCs w:val="20"/>
        </w:rPr>
        <w:t>-1</w:t>
      </w:r>
      <w:r w:rsidR="00E57685">
        <w:rPr>
          <w:rFonts w:ascii="Times New Roman" w:hAnsi="Times New Roman"/>
          <w:b/>
          <w:sz w:val="18"/>
          <w:szCs w:val="20"/>
        </w:rPr>
        <w:t>7</w:t>
      </w:r>
      <w:r w:rsidRPr="00465E26">
        <w:rPr>
          <w:rFonts w:ascii="Times New Roman" w:hAnsi="Times New Roman"/>
          <w:b/>
          <w:sz w:val="18"/>
          <w:szCs w:val="20"/>
        </w:rPr>
        <w:t>-ЗК от «__» __________ 201</w:t>
      </w:r>
      <w:r w:rsidR="00E57685">
        <w:rPr>
          <w:rFonts w:ascii="Times New Roman" w:hAnsi="Times New Roman"/>
          <w:b/>
          <w:sz w:val="18"/>
          <w:szCs w:val="20"/>
        </w:rPr>
        <w:t>7</w:t>
      </w:r>
      <w:r w:rsidRPr="00465E26">
        <w:rPr>
          <w:rFonts w:ascii="Times New Roman" w:hAnsi="Times New Roman"/>
          <w:b/>
          <w:sz w:val="18"/>
          <w:szCs w:val="20"/>
        </w:rPr>
        <w:t xml:space="preserve"> г</w:t>
      </w:r>
      <w:r w:rsidR="00E57685">
        <w:rPr>
          <w:rFonts w:ascii="Times New Roman" w:hAnsi="Times New Roman"/>
          <w:b/>
          <w:sz w:val="18"/>
          <w:szCs w:val="20"/>
        </w:rPr>
        <w:t>.</w:t>
      </w: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73DAF" w:rsidRPr="00D73DAF" w:rsidRDefault="00777689" w:rsidP="00D73DAF">
      <w:pPr>
        <w:rPr>
          <w:rFonts w:ascii="Times New Roman" w:hAnsi="Times New Roman"/>
          <w:b/>
          <w:sz w:val="24"/>
          <w:szCs w:val="24"/>
          <w:lang w:val="en-US"/>
        </w:rPr>
      </w:pPr>
      <w:r>
        <w:rPr>
          <w:b/>
          <w:sz w:val="24"/>
          <w:szCs w:val="24"/>
        </w:rPr>
        <w:t xml:space="preserve">Перечень </w:t>
      </w:r>
      <w:r w:rsidR="00D73DAF" w:rsidRPr="00D73DAF">
        <w:rPr>
          <w:rFonts w:ascii="Times New Roman" w:hAnsi="Times New Roman"/>
          <w:b/>
          <w:sz w:val="24"/>
          <w:szCs w:val="24"/>
        </w:rPr>
        <w:t xml:space="preserve"> Запасных частей для КГУ </w:t>
      </w:r>
      <w:r w:rsidR="00D73DAF" w:rsidRPr="00D73DAF">
        <w:rPr>
          <w:rFonts w:ascii="Times New Roman" w:hAnsi="Times New Roman"/>
          <w:b/>
          <w:sz w:val="24"/>
          <w:szCs w:val="24"/>
          <w:lang w:val="en-US"/>
        </w:rPr>
        <w:t>IMC</w:t>
      </w:r>
      <w:r w:rsidR="00D73DAF" w:rsidRPr="00D73DAF">
        <w:rPr>
          <w:rFonts w:ascii="Times New Roman" w:hAnsi="Times New Roman"/>
          <w:b/>
          <w:sz w:val="24"/>
          <w:szCs w:val="24"/>
        </w:rPr>
        <w:t xml:space="preserve"> </w:t>
      </w:r>
      <w:r w:rsidR="00D73DAF" w:rsidRPr="00D73DAF">
        <w:rPr>
          <w:rFonts w:ascii="Times New Roman" w:hAnsi="Times New Roman"/>
          <w:b/>
          <w:sz w:val="24"/>
          <w:szCs w:val="24"/>
          <w:lang w:val="en-US"/>
        </w:rPr>
        <w:t>GS</w:t>
      </w:r>
      <w:r w:rsidR="00D73DAF" w:rsidRPr="00D73DAF">
        <w:rPr>
          <w:rFonts w:ascii="Times New Roman" w:hAnsi="Times New Roman"/>
          <w:b/>
          <w:sz w:val="24"/>
          <w:szCs w:val="24"/>
        </w:rPr>
        <w:t>-</w:t>
      </w:r>
      <w:r w:rsidR="00D73DAF" w:rsidRPr="00D73DAF">
        <w:rPr>
          <w:rFonts w:ascii="Times New Roman" w:hAnsi="Times New Roman"/>
          <w:b/>
          <w:sz w:val="24"/>
          <w:szCs w:val="24"/>
          <w:lang w:val="en-US"/>
        </w:rPr>
        <w:t>NLC</w:t>
      </w:r>
      <w:r w:rsidR="00D73DAF" w:rsidRPr="00D73DAF">
        <w:rPr>
          <w:rFonts w:ascii="Times New Roman" w:hAnsi="Times New Roman"/>
          <w:b/>
          <w:sz w:val="24"/>
          <w:szCs w:val="24"/>
        </w:rPr>
        <w:t xml:space="preserve">  мотор №4369221, агрегат №4373311 выпуск: октябрь 2005г.    </w:t>
      </w:r>
      <w:proofErr w:type="spellStart"/>
      <w:r w:rsidR="00D73DAF" w:rsidRPr="00D73DAF">
        <w:rPr>
          <w:rFonts w:ascii="Times New Roman" w:hAnsi="Times New Roman"/>
          <w:b/>
          <w:sz w:val="24"/>
          <w:szCs w:val="24"/>
          <w:lang w:val="en-US"/>
        </w:rPr>
        <w:t>Kesselhaus</w:t>
      </w:r>
      <w:proofErr w:type="spellEnd"/>
      <w:r w:rsidR="00D73DAF" w:rsidRPr="00D73DAF">
        <w:rPr>
          <w:rFonts w:ascii="Times New Roman" w:hAnsi="Times New Roman"/>
          <w:b/>
          <w:sz w:val="24"/>
          <w:szCs w:val="24"/>
          <w:lang w:val="en-US"/>
        </w:rPr>
        <w:t xml:space="preserve"> Vyborg</w:t>
      </w:r>
    </w:p>
    <w:tbl>
      <w:tblPr>
        <w:tblW w:w="1022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87"/>
        <w:gridCol w:w="1293"/>
        <w:gridCol w:w="1599"/>
        <w:gridCol w:w="1234"/>
        <w:gridCol w:w="1039"/>
        <w:gridCol w:w="857"/>
      </w:tblGrid>
      <w:tr w:rsidR="00D73DAF" w:rsidRPr="00D73DAF" w:rsidTr="00D73DAF">
        <w:trPr>
          <w:trHeight w:val="1663"/>
        </w:trPr>
        <w:tc>
          <w:tcPr>
            <w:tcW w:w="720" w:type="dxa"/>
            <w:tcBorders>
              <w:top w:val="single" w:sz="4" w:space="0" w:color="auto"/>
              <w:left w:val="single" w:sz="4" w:space="0" w:color="auto"/>
              <w:bottom w:val="single" w:sz="4" w:space="0" w:color="auto"/>
              <w:right w:val="single" w:sz="4" w:space="0" w:color="auto"/>
            </w:tcBorders>
          </w:tcPr>
          <w:p w:rsidR="00D73DAF" w:rsidRPr="00D73DAF" w:rsidRDefault="00D73DAF">
            <w:pPr>
              <w:ind w:left="381"/>
              <w:rPr>
                <w:rFonts w:ascii="Times New Roman" w:hAnsi="Times New Roman"/>
                <w:sz w:val="24"/>
                <w:szCs w:val="24"/>
              </w:rPr>
            </w:pPr>
          </w:p>
          <w:p w:rsidR="00D73DAF" w:rsidRPr="00D73DAF" w:rsidRDefault="00D73DAF">
            <w:pPr>
              <w:rPr>
                <w:rFonts w:ascii="Times New Roman" w:hAnsi="Times New Roman"/>
                <w:sz w:val="24"/>
                <w:szCs w:val="24"/>
              </w:rPr>
            </w:pPr>
            <w:r w:rsidRPr="00D73DAF">
              <w:rPr>
                <w:rFonts w:ascii="Times New Roman" w:hAnsi="Times New Roman"/>
                <w:sz w:val="24"/>
                <w:szCs w:val="24"/>
              </w:rPr>
              <w:t>№</w:t>
            </w:r>
          </w:p>
          <w:p w:rsidR="00D73DAF" w:rsidRPr="00D73DAF" w:rsidRDefault="00D73DAF">
            <w:pPr>
              <w:rPr>
                <w:rFonts w:ascii="Times New Roman" w:hAnsi="Times New Roman"/>
                <w:sz w:val="24"/>
                <w:szCs w:val="24"/>
                <w:lang w:eastAsia="en-US"/>
              </w:rPr>
            </w:pPr>
          </w:p>
        </w:tc>
        <w:tc>
          <w:tcPr>
            <w:tcW w:w="3488"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4"/>
                <w:szCs w:val="24"/>
              </w:rPr>
            </w:pPr>
          </w:p>
          <w:p w:rsidR="00D73DAF" w:rsidRPr="00D73DAF" w:rsidRDefault="00D73DAF">
            <w:pPr>
              <w:rPr>
                <w:rFonts w:ascii="Times New Roman" w:hAnsi="Times New Roman"/>
                <w:sz w:val="28"/>
                <w:szCs w:val="28"/>
                <w:lang w:eastAsia="en-US"/>
              </w:rPr>
            </w:pPr>
            <w:r w:rsidRPr="00D73DAF">
              <w:rPr>
                <w:rFonts w:ascii="Times New Roman" w:hAnsi="Times New Roman"/>
                <w:sz w:val="28"/>
                <w:szCs w:val="28"/>
              </w:rPr>
              <w:t>Наименование</w:t>
            </w:r>
          </w:p>
        </w:tc>
        <w:tc>
          <w:tcPr>
            <w:tcW w:w="1291"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4"/>
                <w:szCs w:val="24"/>
              </w:rPr>
            </w:pPr>
          </w:p>
          <w:p w:rsidR="00D73DAF" w:rsidRPr="00D73DAF" w:rsidRDefault="00D73DAF">
            <w:pPr>
              <w:rPr>
                <w:rFonts w:ascii="Times New Roman" w:hAnsi="Times New Roman"/>
                <w:sz w:val="28"/>
                <w:szCs w:val="28"/>
              </w:rPr>
            </w:pPr>
            <w:r w:rsidRPr="00D73DAF">
              <w:rPr>
                <w:rFonts w:ascii="Times New Roman" w:hAnsi="Times New Roman"/>
                <w:sz w:val="28"/>
                <w:szCs w:val="28"/>
              </w:rPr>
              <w:t>№ артикула</w:t>
            </w:r>
          </w:p>
          <w:p w:rsidR="00D73DAF" w:rsidRPr="00D73DAF" w:rsidRDefault="00D73DAF">
            <w:pPr>
              <w:rPr>
                <w:rFonts w:ascii="Times New Roman" w:hAnsi="Times New Roman"/>
                <w:sz w:val="24"/>
                <w:szCs w:val="24"/>
                <w:lang w:eastAsia="en-US"/>
              </w:rPr>
            </w:pPr>
          </w:p>
        </w:tc>
        <w:tc>
          <w:tcPr>
            <w:tcW w:w="1600"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4"/>
                <w:szCs w:val="24"/>
              </w:rPr>
            </w:pPr>
          </w:p>
          <w:p w:rsidR="00D73DAF" w:rsidRPr="00D73DAF" w:rsidRDefault="00D73DAF">
            <w:pPr>
              <w:rPr>
                <w:rFonts w:ascii="Times New Roman" w:hAnsi="Times New Roman"/>
                <w:sz w:val="28"/>
                <w:szCs w:val="28"/>
              </w:rPr>
            </w:pPr>
            <w:r w:rsidRPr="00D73DAF">
              <w:rPr>
                <w:rFonts w:ascii="Times New Roman" w:hAnsi="Times New Roman"/>
                <w:sz w:val="28"/>
                <w:szCs w:val="28"/>
              </w:rPr>
              <w:t>Шифр рисунка</w:t>
            </w:r>
          </w:p>
          <w:p w:rsidR="00D73DAF" w:rsidRPr="00D73DAF" w:rsidRDefault="00D73DAF">
            <w:pPr>
              <w:rPr>
                <w:rFonts w:ascii="Times New Roman" w:hAnsi="Times New Roman"/>
                <w:sz w:val="24"/>
                <w:szCs w:val="24"/>
                <w:lang w:eastAsia="en-US"/>
              </w:rPr>
            </w:pPr>
          </w:p>
        </w:tc>
        <w:tc>
          <w:tcPr>
            <w:tcW w:w="1234"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4"/>
                <w:szCs w:val="24"/>
              </w:rPr>
            </w:pPr>
          </w:p>
          <w:p w:rsidR="00D73DAF" w:rsidRPr="00D73DAF" w:rsidRDefault="00D73DAF">
            <w:pPr>
              <w:rPr>
                <w:rFonts w:ascii="Times New Roman" w:hAnsi="Times New Roman"/>
                <w:sz w:val="28"/>
                <w:szCs w:val="28"/>
              </w:rPr>
            </w:pPr>
            <w:r w:rsidRPr="00D73DAF">
              <w:rPr>
                <w:rFonts w:ascii="Times New Roman" w:hAnsi="Times New Roman"/>
                <w:sz w:val="28"/>
                <w:szCs w:val="28"/>
              </w:rPr>
              <w:t>№</w:t>
            </w:r>
          </w:p>
          <w:p w:rsidR="00D73DAF" w:rsidRPr="00D73DAF" w:rsidRDefault="00D73DAF">
            <w:pPr>
              <w:rPr>
                <w:rFonts w:ascii="Times New Roman" w:hAnsi="Times New Roman"/>
                <w:sz w:val="28"/>
                <w:szCs w:val="28"/>
              </w:rPr>
            </w:pPr>
            <w:r w:rsidRPr="00D73DAF">
              <w:rPr>
                <w:rFonts w:ascii="Times New Roman" w:hAnsi="Times New Roman"/>
                <w:sz w:val="28"/>
                <w:szCs w:val="28"/>
              </w:rPr>
              <w:t>позиции</w:t>
            </w:r>
          </w:p>
          <w:p w:rsidR="00D73DAF" w:rsidRPr="00D73DAF" w:rsidRDefault="00D73DAF">
            <w:pPr>
              <w:rPr>
                <w:rFonts w:ascii="Times New Roman" w:hAnsi="Times New Roman"/>
                <w:sz w:val="24"/>
                <w:szCs w:val="24"/>
                <w:lang w:eastAsia="en-US"/>
              </w:rPr>
            </w:pPr>
          </w:p>
        </w:tc>
        <w:tc>
          <w:tcPr>
            <w:tcW w:w="1039"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8"/>
                <w:szCs w:val="28"/>
              </w:rPr>
            </w:pPr>
          </w:p>
          <w:p w:rsidR="00D73DAF" w:rsidRPr="00D73DAF" w:rsidRDefault="00D73DAF">
            <w:pPr>
              <w:rPr>
                <w:rFonts w:ascii="Times New Roman" w:hAnsi="Times New Roman"/>
                <w:sz w:val="28"/>
                <w:szCs w:val="28"/>
              </w:rPr>
            </w:pPr>
            <w:proofErr w:type="spellStart"/>
            <w:r w:rsidRPr="00D73DAF">
              <w:rPr>
                <w:rFonts w:ascii="Times New Roman" w:hAnsi="Times New Roman"/>
                <w:sz w:val="28"/>
                <w:szCs w:val="28"/>
              </w:rPr>
              <w:t>Ед</w:t>
            </w:r>
            <w:proofErr w:type="gramStart"/>
            <w:r w:rsidRPr="00D73DAF">
              <w:rPr>
                <w:rFonts w:ascii="Times New Roman" w:hAnsi="Times New Roman"/>
                <w:sz w:val="28"/>
                <w:szCs w:val="28"/>
              </w:rPr>
              <w:t>.и</w:t>
            </w:r>
            <w:proofErr w:type="gramEnd"/>
            <w:r w:rsidRPr="00D73DAF">
              <w:rPr>
                <w:rFonts w:ascii="Times New Roman" w:hAnsi="Times New Roman"/>
                <w:sz w:val="28"/>
                <w:szCs w:val="28"/>
              </w:rPr>
              <w:t>зм</w:t>
            </w:r>
            <w:proofErr w:type="spellEnd"/>
          </w:p>
          <w:p w:rsidR="00D73DAF" w:rsidRPr="00D73DAF" w:rsidRDefault="00D73DAF">
            <w:pPr>
              <w:rPr>
                <w:rFonts w:ascii="Times New Roman" w:hAnsi="Times New Roman"/>
                <w:sz w:val="28"/>
                <w:szCs w:val="28"/>
                <w:lang w:eastAsia="en-US"/>
              </w:rPr>
            </w:pPr>
          </w:p>
        </w:tc>
        <w:tc>
          <w:tcPr>
            <w:tcW w:w="857" w:type="dxa"/>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sz w:val="28"/>
                <w:szCs w:val="28"/>
              </w:rPr>
            </w:pPr>
          </w:p>
          <w:p w:rsidR="00D73DAF" w:rsidRPr="00D73DAF" w:rsidRDefault="00D73DAF">
            <w:pPr>
              <w:rPr>
                <w:rFonts w:ascii="Times New Roman" w:hAnsi="Times New Roman"/>
                <w:sz w:val="28"/>
                <w:szCs w:val="28"/>
              </w:rPr>
            </w:pPr>
            <w:r w:rsidRPr="00D73DAF">
              <w:rPr>
                <w:rFonts w:ascii="Times New Roman" w:hAnsi="Times New Roman"/>
                <w:sz w:val="28"/>
                <w:szCs w:val="28"/>
              </w:rPr>
              <w:t>Кол-во</w:t>
            </w:r>
          </w:p>
          <w:p w:rsidR="00D73DAF" w:rsidRPr="00D73DAF" w:rsidRDefault="00D73DAF">
            <w:pPr>
              <w:rPr>
                <w:rFonts w:ascii="Times New Roman" w:hAnsi="Times New Roman"/>
                <w:sz w:val="28"/>
                <w:szCs w:val="28"/>
                <w:lang w:eastAsia="en-US"/>
              </w:rPr>
            </w:pPr>
          </w:p>
        </w:tc>
      </w:tr>
      <w:tr w:rsidR="00D73DAF" w:rsidRPr="00D73DAF" w:rsidTr="00D73DAF">
        <w:trPr>
          <w:trHeight w:val="645"/>
        </w:trPr>
        <w:tc>
          <w:tcPr>
            <w:tcW w:w="720" w:type="dxa"/>
            <w:tcBorders>
              <w:top w:val="single" w:sz="4" w:space="0" w:color="auto"/>
              <w:left w:val="single" w:sz="4" w:space="0" w:color="auto"/>
              <w:bottom w:val="single" w:sz="4" w:space="0" w:color="auto"/>
              <w:right w:val="single" w:sz="4" w:space="0" w:color="auto"/>
            </w:tcBorders>
            <w:hideMark/>
          </w:tcPr>
          <w:p w:rsidR="00D73DAF" w:rsidRPr="00D73DAF" w:rsidRDefault="00D73DAF">
            <w:pPr>
              <w:ind w:left="381"/>
              <w:rPr>
                <w:rFonts w:ascii="Times New Roman" w:hAnsi="Times New Roman"/>
                <w:sz w:val="24"/>
                <w:szCs w:val="24"/>
                <w:lang w:eastAsia="en-US"/>
              </w:rPr>
            </w:pPr>
            <w:r w:rsidRPr="00D73DAF">
              <w:rPr>
                <w:rFonts w:ascii="Times New Roman" w:hAnsi="Times New Roman"/>
                <w:sz w:val="24"/>
                <w:szCs w:val="24"/>
              </w:rPr>
              <w:t>1</w:t>
            </w:r>
          </w:p>
        </w:tc>
        <w:tc>
          <w:tcPr>
            <w:tcW w:w="3488"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proofErr w:type="spellStart"/>
            <w:r w:rsidRPr="00D73DAF">
              <w:rPr>
                <w:rFonts w:ascii="Times New Roman" w:hAnsi="Times New Roman"/>
                <w:sz w:val="24"/>
                <w:szCs w:val="24"/>
              </w:rPr>
              <w:t>Виброглушитель</w:t>
            </w:r>
            <w:proofErr w:type="spellEnd"/>
            <w:r w:rsidRPr="00D73DAF">
              <w:rPr>
                <w:rFonts w:ascii="Times New Roman" w:hAnsi="Times New Roman"/>
                <w:sz w:val="24"/>
                <w:szCs w:val="24"/>
              </w:rPr>
              <w:t xml:space="preserve"> (</w:t>
            </w:r>
            <w:proofErr w:type="spellStart"/>
            <w:r w:rsidRPr="00D73DAF">
              <w:rPr>
                <w:rFonts w:ascii="Times New Roman" w:hAnsi="Times New Roman"/>
                <w:sz w:val="24"/>
                <w:szCs w:val="24"/>
                <w:lang w:val="en-US"/>
              </w:rPr>
              <w:t>Schwingungsdampfer</w:t>
            </w:r>
            <w:proofErr w:type="spellEnd"/>
            <w:r w:rsidRPr="00D73DAF">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276177</w:t>
            </w:r>
          </w:p>
        </w:tc>
        <w:tc>
          <w:tcPr>
            <w:tcW w:w="1600"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104-02-071</w:t>
            </w:r>
          </w:p>
        </w:tc>
        <w:tc>
          <w:tcPr>
            <w:tcW w:w="1234"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22</w:t>
            </w:r>
          </w:p>
        </w:tc>
        <w:tc>
          <w:tcPr>
            <w:tcW w:w="1039"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2</w:t>
            </w:r>
          </w:p>
        </w:tc>
      </w:tr>
      <w:tr w:rsidR="00D73DAF" w:rsidRPr="00D73DAF" w:rsidTr="00D73DAF">
        <w:trPr>
          <w:trHeight w:val="972"/>
        </w:trPr>
        <w:tc>
          <w:tcPr>
            <w:tcW w:w="720" w:type="dxa"/>
            <w:tcBorders>
              <w:top w:val="single" w:sz="4" w:space="0" w:color="auto"/>
              <w:left w:val="single" w:sz="4" w:space="0" w:color="auto"/>
              <w:bottom w:val="single" w:sz="4" w:space="0" w:color="auto"/>
              <w:right w:val="single" w:sz="4" w:space="0" w:color="auto"/>
            </w:tcBorders>
            <w:hideMark/>
          </w:tcPr>
          <w:p w:rsidR="00D73DAF" w:rsidRPr="00D73DAF" w:rsidRDefault="00D73DAF">
            <w:pPr>
              <w:ind w:left="381"/>
              <w:rPr>
                <w:rFonts w:ascii="Times New Roman" w:hAnsi="Times New Roman"/>
                <w:sz w:val="24"/>
                <w:szCs w:val="24"/>
                <w:lang w:val="en-US" w:eastAsia="en-US"/>
              </w:rPr>
            </w:pPr>
            <w:r w:rsidRPr="00D73DAF">
              <w:rPr>
                <w:rFonts w:ascii="Times New Roman" w:hAnsi="Times New Roman"/>
                <w:sz w:val="24"/>
                <w:szCs w:val="24"/>
                <w:lang w:val="en-US"/>
              </w:rPr>
              <w:t>2</w:t>
            </w:r>
          </w:p>
        </w:tc>
        <w:tc>
          <w:tcPr>
            <w:tcW w:w="3488"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rPr>
              <w:t>Помпа</w:t>
            </w:r>
            <w:r w:rsidRPr="00D73DAF">
              <w:rPr>
                <w:rFonts w:ascii="Times New Roman" w:hAnsi="Times New Roman"/>
                <w:sz w:val="24"/>
                <w:szCs w:val="24"/>
                <w:lang w:val="en-US"/>
              </w:rPr>
              <w:t>-</w:t>
            </w:r>
            <w:r w:rsidRPr="00D73DAF">
              <w:rPr>
                <w:rFonts w:ascii="Times New Roman" w:hAnsi="Times New Roman"/>
                <w:sz w:val="24"/>
                <w:szCs w:val="24"/>
              </w:rPr>
              <w:t>насос</w:t>
            </w:r>
            <w:r w:rsidRPr="00D73DAF">
              <w:rPr>
                <w:rFonts w:ascii="Times New Roman" w:hAnsi="Times New Roman"/>
                <w:sz w:val="24"/>
                <w:szCs w:val="24"/>
                <w:lang w:val="en-US"/>
              </w:rPr>
              <w:t xml:space="preserve"> </w:t>
            </w:r>
            <w:r w:rsidRPr="00D73DAF">
              <w:rPr>
                <w:rFonts w:ascii="Times New Roman" w:hAnsi="Times New Roman"/>
                <w:sz w:val="24"/>
                <w:szCs w:val="24"/>
              </w:rPr>
              <w:t>водяного</w:t>
            </w:r>
            <w:r w:rsidRPr="00D73DAF">
              <w:rPr>
                <w:rFonts w:ascii="Times New Roman" w:hAnsi="Times New Roman"/>
                <w:sz w:val="24"/>
                <w:szCs w:val="24"/>
                <w:lang w:val="en-US"/>
              </w:rPr>
              <w:t xml:space="preserve"> </w:t>
            </w:r>
            <w:proofErr w:type="spellStart"/>
            <w:r w:rsidRPr="00D73DAF">
              <w:rPr>
                <w:rFonts w:ascii="Times New Roman" w:hAnsi="Times New Roman"/>
                <w:sz w:val="24"/>
                <w:szCs w:val="24"/>
              </w:rPr>
              <w:t>оххлаждения</w:t>
            </w:r>
            <w:proofErr w:type="spellEnd"/>
            <w:r w:rsidRPr="00D73DAF">
              <w:rPr>
                <w:rFonts w:ascii="Times New Roman" w:hAnsi="Times New Roman"/>
                <w:sz w:val="24"/>
                <w:szCs w:val="24"/>
                <w:lang w:val="en-US"/>
              </w:rPr>
              <w:t xml:space="preserve">  (</w:t>
            </w:r>
            <w:proofErr w:type="spellStart"/>
            <w:r w:rsidRPr="00D73DAF">
              <w:rPr>
                <w:rFonts w:ascii="Times New Roman" w:hAnsi="Times New Roman"/>
                <w:sz w:val="24"/>
                <w:szCs w:val="24"/>
                <w:lang w:val="en-US"/>
              </w:rPr>
              <w:t>Kuhlwasserpumpe</w:t>
            </w:r>
            <w:proofErr w:type="spellEnd"/>
            <w:r w:rsidRPr="00D73DAF">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259839</w:t>
            </w:r>
          </w:p>
        </w:tc>
        <w:tc>
          <w:tcPr>
            <w:tcW w:w="1600"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104-17-136</w:t>
            </w:r>
          </w:p>
        </w:tc>
        <w:tc>
          <w:tcPr>
            <w:tcW w:w="1234"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000</w:t>
            </w:r>
          </w:p>
        </w:tc>
        <w:tc>
          <w:tcPr>
            <w:tcW w:w="1039"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w:t>
            </w:r>
          </w:p>
        </w:tc>
      </w:tr>
      <w:tr w:rsidR="00D73DAF" w:rsidRPr="00D73DAF" w:rsidTr="00D73DAF">
        <w:trPr>
          <w:trHeight w:val="859"/>
        </w:trPr>
        <w:tc>
          <w:tcPr>
            <w:tcW w:w="720" w:type="dxa"/>
            <w:tcBorders>
              <w:top w:val="single" w:sz="4" w:space="0" w:color="auto"/>
              <w:left w:val="single" w:sz="4" w:space="0" w:color="auto"/>
              <w:bottom w:val="single" w:sz="4" w:space="0" w:color="auto"/>
              <w:right w:val="single" w:sz="4" w:space="0" w:color="auto"/>
            </w:tcBorders>
            <w:hideMark/>
          </w:tcPr>
          <w:p w:rsidR="00D73DAF" w:rsidRPr="00D73DAF" w:rsidRDefault="00D73DAF">
            <w:pPr>
              <w:ind w:left="381"/>
              <w:rPr>
                <w:rFonts w:ascii="Times New Roman" w:hAnsi="Times New Roman"/>
                <w:sz w:val="24"/>
                <w:szCs w:val="24"/>
                <w:lang w:eastAsia="en-US"/>
              </w:rPr>
            </w:pPr>
            <w:r w:rsidRPr="00D73DAF">
              <w:rPr>
                <w:rFonts w:ascii="Times New Roman" w:hAnsi="Times New Roman"/>
                <w:sz w:val="24"/>
                <w:szCs w:val="24"/>
              </w:rPr>
              <w:t>3</w:t>
            </w:r>
          </w:p>
        </w:tc>
        <w:tc>
          <w:tcPr>
            <w:tcW w:w="3488"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Высоковольтные катушки-катушки зажигания  (</w:t>
            </w:r>
            <w:proofErr w:type="spellStart"/>
            <w:r w:rsidRPr="00D73DAF">
              <w:rPr>
                <w:rFonts w:ascii="Times New Roman" w:hAnsi="Times New Roman"/>
                <w:sz w:val="24"/>
                <w:szCs w:val="24"/>
                <w:lang w:val="en-US"/>
              </w:rPr>
              <w:t>Zundspule</w:t>
            </w:r>
            <w:proofErr w:type="spellEnd"/>
            <w:r w:rsidRPr="00D73DAF">
              <w:rPr>
                <w:rFonts w:ascii="Times New Roman" w:hAnsi="Times New Roman"/>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118257</w:t>
            </w:r>
          </w:p>
        </w:tc>
        <w:tc>
          <w:tcPr>
            <w:tcW w:w="1600"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107-00-263</w:t>
            </w:r>
          </w:p>
        </w:tc>
        <w:tc>
          <w:tcPr>
            <w:tcW w:w="1234"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008</w:t>
            </w:r>
          </w:p>
        </w:tc>
        <w:tc>
          <w:tcPr>
            <w:tcW w:w="1039"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2</w:t>
            </w:r>
          </w:p>
        </w:tc>
      </w:tr>
      <w:tr w:rsidR="00D73DAF" w:rsidRPr="00D73DAF" w:rsidTr="00D73DAF">
        <w:trPr>
          <w:trHeight w:val="828"/>
        </w:trPr>
        <w:tc>
          <w:tcPr>
            <w:tcW w:w="720" w:type="dxa"/>
            <w:tcBorders>
              <w:top w:val="single" w:sz="4" w:space="0" w:color="auto"/>
              <w:left w:val="single" w:sz="4" w:space="0" w:color="auto"/>
              <w:bottom w:val="single" w:sz="4" w:space="0" w:color="auto"/>
              <w:right w:val="single" w:sz="4" w:space="0" w:color="auto"/>
            </w:tcBorders>
            <w:hideMark/>
          </w:tcPr>
          <w:p w:rsidR="00D73DAF" w:rsidRPr="00D73DAF" w:rsidRDefault="00D73DAF">
            <w:pPr>
              <w:ind w:left="381"/>
              <w:rPr>
                <w:rFonts w:ascii="Times New Roman" w:hAnsi="Times New Roman"/>
                <w:sz w:val="24"/>
                <w:szCs w:val="24"/>
                <w:lang w:val="en-US" w:eastAsia="en-US"/>
              </w:rPr>
            </w:pPr>
            <w:r w:rsidRPr="00D73DAF">
              <w:rPr>
                <w:rFonts w:ascii="Times New Roman" w:hAnsi="Times New Roman"/>
                <w:sz w:val="24"/>
                <w:szCs w:val="24"/>
                <w:lang w:val="en-US"/>
              </w:rPr>
              <w:t>4</w:t>
            </w:r>
          </w:p>
        </w:tc>
        <w:tc>
          <w:tcPr>
            <w:tcW w:w="3488"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Наконечники-штекеры запальной свечи  (</w:t>
            </w:r>
            <w:proofErr w:type="spellStart"/>
            <w:r w:rsidRPr="00D73DAF">
              <w:rPr>
                <w:rFonts w:ascii="Times New Roman" w:hAnsi="Times New Roman"/>
                <w:sz w:val="24"/>
                <w:szCs w:val="24"/>
                <w:lang w:val="en-US"/>
              </w:rPr>
              <w:t>Zundkerzenstecker</w:t>
            </w:r>
            <w:proofErr w:type="spellEnd"/>
            <w:r w:rsidRPr="00D73DAF">
              <w:rPr>
                <w:rFonts w:ascii="Times New Roman" w:hAnsi="Times New Roman"/>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341924</w:t>
            </w:r>
          </w:p>
        </w:tc>
        <w:tc>
          <w:tcPr>
            <w:tcW w:w="1600"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107-00-263</w:t>
            </w:r>
          </w:p>
        </w:tc>
        <w:tc>
          <w:tcPr>
            <w:tcW w:w="1234"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012</w:t>
            </w:r>
          </w:p>
        </w:tc>
        <w:tc>
          <w:tcPr>
            <w:tcW w:w="1039"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4</w:t>
            </w:r>
          </w:p>
        </w:tc>
      </w:tr>
      <w:tr w:rsidR="00D73DAF" w:rsidRPr="00D73DAF" w:rsidTr="00D73DAF">
        <w:trPr>
          <w:trHeight w:val="710"/>
        </w:trPr>
        <w:tc>
          <w:tcPr>
            <w:tcW w:w="720" w:type="dxa"/>
            <w:tcBorders>
              <w:top w:val="single" w:sz="4" w:space="0" w:color="auto"/>
              <w:left w:val="single" w:sz="4" w:space="0" w:color="auto"/>
              <w:bottom w:val="single" w:sz="4" w:space="0" w:color="auto"/>
              <w:right w:val="single" w:sz="4" w:space="0" w:color="auto"/>
            </w:tcBorders>
            <w:hideMark/>
          </w:tcPr>
          <w:p w:rsidR="00D73DAF" w:rsidRPr="00D73DAF" w:rsidRDefault="00D73DAF">
            <w:pPr>
              <w:ind w:left="381"/>
              <w:rPr>
                <w:rFonts w:ascii="Times New Roman" w:hAnsi="Times New Roman"/>
                <w:sz w:val="24"/>
                <w:szCs w:val="24"/>
                <w:lang w:val="en-US" w:eastAsia="en-US"/>
              </w:rPr>
            </w:pPr>
            <w:r w:rsidRPr="00D73DAF">
              <w:rPr>
                <w:rFonts w:ascii="Times New Roman" w:hAnsi="Times New Roman"/>
                <w:sz w:val="24"/>
                <w:szCs w:val="24"/>
                <w:lang w:val="en-US"/>
              </w:rPr>
              <w:t>5</w:t>
            </w:r>
          </w:p>
        </w:tc>
        <w:tc>
          <w:tcPr>
            <w:tcW w:w="3488"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rPr>
              <w:t xml:space="preserve">Мотор вентилятора (Привод </w:t>
            </w:r>
            <w:proofErr w:type="gramStart"/>
            <w:r w:rsidRPr="00D73DAF">
              <w:rPr>
                <w:rFonts w:ascii="Times New Roman" w:hAnsi="Times New Roman"/>
                <w:sz w:val="24"/>
                <w:szCs w:val="24"/>
              </w:rPr>
              <w:t>А</w:t>
            </w:r>
            <w:proofErr w:type="spellStart"/>
            <w:proofErr w:type="gramEnd"/>
            <w:r w:rsidRPr="00D73DAF">
              <w:rPr>
                <w:rFonts w:ascii="Times New Roman" w:hAnsi="Times New Roman"/>
                <w:sz w:val="24"/>
                <w:szCs w:val="24"/>
                <w:lang w:val="en-US"/>
              </w:rPr>
              <w:t>ntrieb</w:t>
            </w:r>
            <w:proofErr w:type="spellEnd"/>
            <w:r w:rsidRPr="00D73DAF">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291600</w:t>
            </w:r>
          </w:p>
        </w:tc>
        <w:tc>
          <w:tcPr>
            <w:tcW w:w="1600"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404-19-977</w:t>
            </w:r>
          </w:p>
        </w:tc>
        <w:tc>
          <w:tcPr>
            <w:tcW w:w="1234"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100</w:t>
            </w:r>
          </w:p>
        </w:tc>
        <w:tc>
          <w:tcPr>
            <w:tcW w:w="1039"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eastAsia="en-US"/>
              </w:rPr>
            </w:pPr>
            <w:r w:rsidRPr="00D73DAF">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D73DAF" w:rsidRPr="00D73DAF" w:rsidRDefault="00D73DAF">
            <w:pPr>
              <w:rPr>
                <w:rFonts w:ascii="Times New Roman" w:hAnsi="Times New Roman"/>
                <w:sz w:val="24"/>
                <w:szCs w:val="24"/>
                <w:lang w:val="en-US" w:eastAsia="en-US"/>
              </w:rPr>
            </w:pPr>
            <w:r w:rsidRPr="00D73DAF">
              <w:rPr>
                <w:rFonts w:ascii="Times New Roman" w:hAnsi="Times New Roman"/>
                <w:sz w:val="24"/>
                <w:szCs w:val="24"/>
                <w:lang w:val="en-US"/>
              </w:rPr>
              <w:t>1</w:t>
            </w:r>
          </w:p>
        </w:tc>
      </w:tr>
      <w:tr w:rsidR="00D73DAF" w:rsidRPr="00D73DAF" w:rsidTr="00E464E9">
        <w:trPr>
          <w:trHeight w:val="480"/>
        </w:trPr>
        <w:tc>
          <w:tcPr>
            <w:tcW w:w="720" w:type="dxa"/>
            <w:tcBorders>
              <w:top w:val="single" w:sz="4" w:space="0" w:color="auto"/>
              <w:left w:val="single" w:sz="4" w:space="0" w:color="auto"/>
              <w:bottom w:val="single" w:sz="4" w:space="0" w:color="auto"/>
              <w:right w:val="single" w:sz="4" w:space="0" w:color="auto"/>
            </w:tcBorders>
          </w:tcPr>
          <w:p w:rsidR="00D73DAF" w:rsidRPr="00D73DAF" w:rsidRDefault="00D73DAF">
            <w:pPr>
              <w:ind w:left="381"/>
              <w:rPr>
                <w:rFonts w:ascii="Times New Roman" w:hAnsi="Times New Roman"/>
                <w:sz w:val="24"/>
                <w:szCs w:val="24"/>
                <w:lang w:eastAsia="en-US"/>
              </w:rPr>
            </w:pPr>
          </w:p>
        </w:tc>
        <w:tc>
          <w:tcPr>
            <w:tcW w:w="9509" w:type="dxa"/>
            <w:gridSpan w:val="6"/>
            <w:tcBorders>
              <w:top w:val="single" w:sz="4" w:space="0" w:color="auto"/>
              <w:left w:val="single" w:sz="4" w:space="0" w:color="auto"/>
              <w:bottom w:val="single" w:sz="4" w:space="0" w:color="auto"/>
              <w:right w:val="single" w:sz="4" w:space="0" w:color="auto"/>
            </w:tcBorders>
          </w:tcPr>
          <w:p w:rsidR="00D73DAF" w:rsidRPr="00D73DAF" w:rsidRDefault="00D73DAF">
            <w:pPr>
              <w:rPr>
                <w:rFonts w:ascii="Times New Roman" w:hAnsi="Times New Roman"/>
                <w:b/>
                <w:sz w:val="24"/>
                <w:szCs w:val="24"/>
                <w:lang w:eastAsia="en-US"/>
              </w:rPr>
            </w:pPr>
          </w:p>
        </w:tc>
      </w:tr>
    </w:tbl>
    <w:p w:rsidR="00E57685" w:rsidRPr="00D73DAF"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73DAF" w:rsidRDefault="00D73DAF"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73DAF" w:rsidRDefault="00D73DAF"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73DAF" w:rsidRDefault="00D73DAF"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73DAF" w:rsidRDefault="00D73DAF"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1B4D7B" w:rsidRDefault="001B4D7B"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1B4D7B" w:rsidRDefault="001B4D7B"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1B4D7B" w:rsidRDefault="001B4D7B"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1B4D7B" w:rsidRDefault="001B4D7B"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1B4D7B" w:rsidRDefault="001B4D7B"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Pr="00465E26"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1" w:name="_Toc305665987"/>
      <w:r w:rsidRPr="00465E26">
        <w:rPr>
          <w:rFonts w:ascii="Times New Roman" w:hAnsi="Times New Roman"/>
          <w:b/>
          <w:sz w:val="20"/>
        </w:rPr>
        <w:lastRenderedPageBreak/>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1"/>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777689">
            <w:pPr>
              <w:jc w:val="center"/>
              <w:rPr>
                <w:bCs/>
              </w:rPr>
            </w:pPr>
            <w:r w:rsidRPr="00465E26">
              <w:rPr>
                <w:rFonts w:ascii="Times New Roman" w:hAnsi="Times New Roman"/>
                <w:sz w:val="20"/>
              </w:rPr>
              <w:t xml:space="preserve">Поставка </w:t>
            </w:r>
            <w:r w:rsidR="00777689" w:rsidRPr="00777689">
              <w:rPr>
                <w:rFonts w:ascii="Times New Roman" w:hAnsi="Times New Roman"/>
                <w:sz w:val="24"/>
                <w:szCs w:val="24"/>
              </w:rPr>
              <w:t xml:space="preserve">запасных частей для КГУ </w:t>
            </w:r>
            <w:r w:rsidR="00777689" w:rsidRPr="00777689">
              <w:rPr>
                <w:rFonts w:ascii="Times New Roman" w:hAnsi="Times New Roman"/>
                <w:sz w:val="24"/>
                <w:szCs w:val="24"/>
                <w:lang w:val="en-US"/>
              </w:rPr>
              <w:t>IMC</w:t>
            </w:r>
            <w:r w:rsidR="00777689" w:rsidRPr="00777689">
              <w:rPr>
                <w:rFonts w:ascii="Times New Roman" w:hAnsi="Times New Roman"/>
                <w:sz w:val="24"/>
                <w:szCs w:val="24"/>
              </w:rPr>
              <w:t xml:space="preserve"> </w:t>
            </w:r>
            <w:r w:rsidR="00777689" w:rsidRPr="00777689">
              <w:rPr>
                <w:rFonts w:ascii="Times New Roman" w:hAnsi="Times New Roman"/>
                <w:sz w:val="24"/>
                <w:szCs w:val="24"/>
                <w:lang w:val="en-US"/>
              </w:rPr>
              <w:t>GS</w:t>
            </w:r>
            <w:r w:rsidR="00777689" w:rsidRPr="00777689">
              <w:rPr>
                <w:rFonts w:ascii="Times New Roman" w:hAnsi="Times New Roman"/>
                <w:sz w:val="24"/>
                <w:szCs w:val="24"/>
              </w:rPr>
              <w:t>-</w:t>
            </w:r>
            <w:r w:rsidR="00777689" w:rsidRPr="00777689">
              <w:rPr>
                <w:rFonts w:ascii="Times New Roman" w:hAnsi="Times New Roman"/>
                <w:sz w:val="24"/>
                <w:szCs w:val="24"/>
                <w:lang w:val="en-US"/>
              </w:rPr>
              <w:t>NLC</w:t>
            </w:r>
            <w:r w:rsidR="00777689" w:rsidRPr="00777689">
              <w:rPr>
                <w:rFonts w:ascii="Times New Roman" w:hAnsi="Times New Roman"/>
                <w:sz w:val="24"/>
                <w:szCs w:val="24"/>
              </w:rPr>
              <w:t xml:space="preserve">  мотор №4369221, агрегат №4373311 выпуск: октябрь 2005г.    </w:t>
            </w:r>
            <w:proofErr w:type="spellStart"/>
            <w:r w:rsidR="00777689" w:rsidRPr="00777689">
              <w:rPr>
                <w:rFonts w:ascii="Times New Roman" w:hAnsi="Times New Roman"/>
                <w:sz w:val="24"/>
                <w:szCs w:val="24"/>
                <w:lang w:val="en-US"/>
              </w:rPr>
              <w:t>Kesselhaus</w:t>
            </w:r>
            <w:proofErr w:type="spellEnd"/>
            <w:r w:rsidR="00777689" w:rsidRPr="00777689">
              <w:rPr>
                <w:rFonts w:ascii="Times New Roman" w:hAnsi="Times New Roman"/>
                <w:sz w:val="24"/>
                <w:szCs w:val="24"/>
              </w:rPr>
              <w:t xml:space="preserve"> </w:t>
            </w:r>
            <w:r w:rsidR="00777689" w:rsidRPr="00777689">
              <w:rPr>
                <w:rFonts w:ascii="Times New Roman" w:hAnsi="Times New Roman"/>
                <w:sz w:val="24"/>
                <w:szCs w:val="24"/>
                <w:lang w:val="en-US"/>
              </w:rPr>
              <w:t>Vyborg</w:t>
            </w:r>
            <w:r w:rsidR="00003C96" w:rsidRP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E57685">
              <w:rPr>
                <w:rFonts w:ascii="Times New Roman" w:hAnsi="Times New Roman"/>
                <w:bCs/>
                <w:szCs w:val="24"/>
              </w:rPr>
              <w:t xml:space="preserve">Не позднее </w:t>
            </w:r>
            <w:r w:rsidR="00777689">
              <w:rPr>
                <w:rFonts w:ascii="Times New Roman" w:hAnsi="Times New Roman"/>
                <w:bCs/>
                <w:szCs w:val="24"/>
              </w:rPr>
              <w:t>7-8 недель</w:t>
            </w:r>
            <w:r w:rsidR="00BD7606" w:rsidRPr="00465E26">
              <w:rPr>
                <w:rFonts w:ascii="Times New Roman" w:hAnsi="Times New Roman"/>
                <w:bCs/>
                <w:szCs w:val="24"/>
              </w:rPr>
              <w:t xml:space="preserve"> после предварительной оплаты</w:t>
            </w:r>
            <w:r w:rsidR="00BD7606" w:rsidRPr="00465E26">
              <w:rPr>
                <w:rFonts w:ascii="Times New Roman" w:hAnsi="Times New Roman"/>
                <w:szCs w:val="24"/>
              </w:rPr>
              <w:t>.</w:t>
            </w:r>
          </w:p>
          <w:p w:rsidR="00EA22FD" w:rsidRPr="00E57685" w:rsidRDefault="00EA22FD" w:rsidP="00207585">
            <w:pPr>
              <w:spacing w:line="23" w:lineRule="atLeast"/>
              <w:jc w:val="both"/>
              <w:rPr>
                <w:rFonts w:ascii="Times New Roman" w:hAnsi="Times New Roman"/>
                <w:bCs/>
                <w:szCs w:val="24"/>
              </w:rPr>
            </w:pPr>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777689">
              <w:rPr>
                <w:rFonts w:ascii="Times New Roman" w:hAnsi="Times New Roman"/>
                <w:sz w:val="24"/>
                <w:szCs w:val="24"/>
                <w:lang w:eastAsia="en-US"/>
              </w:rPr>
              <w:t>самовывоз из г. Санкт-Петербурга</w:t>
            </w:r>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777689">
              <w:rPr>
                <w:rFonts w:ascii="Times New Roman" w:hAnsi="Times New Roman"/>
                <w:szCs w:val="24"/>
              </w:rPr>
              <w:t>5</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в течение </w:t>
            </w:r>
            <w:r w:rsidR="00777689">
              <w:rPr>
                <w:rFonts w:ascii="Times New Roman" w:hAnsi="Times New Roman"/>
                <w:szCs w:val="24"/>
              </w:rPr>
              <w:t>14</w:t>
            </w:r>
            <w:r w:rsidR="0018421D" w:rsidRPr="00465E26">
              <w:rPr>
                <w:rFonts w:ascii="Times New Roman" w:hAnsi="Times New Roman"/>
                <w:szCs w:val="24"/>
              </w:rPr>
              <w:t xml:space="preserve"> </w:t>
            </w:r>
            <w:r w:rsidR="00777689">
              <w:rPr>
                <w:rFonts w:ascii="Times New Roman" w:hAnsi="Times New Roman"/>
                <w:szCs w:val="24"/>
              </w:rPr>
              <w:t>рабочих</w:t>
            </w:r>
            <w:r w:rsidR="0018421D" w:rsidRPr="00465E26">
              <w:rPr>
                <w:rFonts w:ascii="Times New Roman" w:hAnsi="Times New Roman"/>
                <w:szCs w:val="24"/>
              </w:rPr>
              <w:t xml:space="preserve"> дней с момента получения «Покупателем» </w:t>
            </w:r>
            <w:r w:rsidR="0032442A" w:rsidRPr="00465E26">
              <w:rPr>
                <w:rFonts w:ascii="Times New Roman" w:hAnsi="Times New Roman"/>
                <w:szCs w:val="24"/>
              </w:rPr>
              <w:t>продукции</w:t>
            </w:r>
            <w:r w:rsidR="0018421D" w:rsidRPr="00465E26">
              <w:rPr>
                <w:rFonts w:ascii="Times New Roman" w:hAnsi="Times New Roman"/>
                <w:szCs w:val="24"/>
              </w:rPr>
              <w:t>.</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E464E9">
            <w:pPr>
              <w:ind w:right="153"/>
              <w:jc w:val="both"/>
              <w:rPr>
                <w:rFonts w:ascii="Times New Roman" w:hAnsi="Times New Roman"/>
                <w:bCs/>
                <w:szCs w:val="24"/>
              </w:rPr>
            </w:pPr>
            <w:r w:rsidRPr="00465E26">
              <w:rPr>
                <w:rFonts w:ascii="Times New Roman" w:hAnsi="Times New Roman"/>
                <w:bCs/>
                <w:szCs w:val="24"/>
              </w:rPr>
              <w:t>«</w:t>
            </w:r>
            <w:r w:rsidR="00E464E9">
              <w:rPr>
                <w:rFonts w:ascii="Times New Roman" w:hAnsi="Times New Roman"/>
                <w:bCs/>
                <w:szCs w:val="24"/>
              </w:rPr>
              <w:t>30</w:t>
            </w:r>
            <w:r w:rsidRPr="00465E26">
              <w:rPr>
                <w:rFonts w:ascii="Times New Roman" w:hAnsi="Times New Roman"/>
                <w:bCs/>
                <w:szCs w:val="24"/>
              </w:rPr>
              <w:t>»</w:t>
            </w:r>
            <w:r w:rsidR="00FD27F3" w:rsidRPr="00465E26">
              <w:rPr>
                <w:rFonts w:ascii="Times New Roman" w:hAnsi="Times New Roman"/>
                <w:bCs/>
                <w:szCs w:val="24"/>
              </w:rPr>
              <w:t xml:space="preserve"> </w:t>
            </w:r>
            <w:r w:rsidR="000C500F">
              <w:rPr>
                <w:rFonts w:ascii="Times New Roman" w:hAnsi="Times New Roman"/>
                <w:bCs/>
                <w:szCs w:val="24"/>
              </w:rPr>
              <w:t>января</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0C500F">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 xml:space="preserve">Начальная (максимальная) цена договора (включает </w:t>
            </w:r>
            <w:r w:rsidRPr="00465E26">
              <w:rPr>
                <w:rFonts w:ascii="Times New Roman" w:hAnsi="Times New Roman"/>
                <w:bCs/>
                <w:szCs w:val="24"/>
              </w:rPr>
              <w:lastRenderedPageBreak/>
              <w:t>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lastRenderedPageBreak/>
              <w:t xml:space="preserve">Начальная (максимальная) цена договора: </w:t>
            </w:r>
          </w:p>
          <w:p w:rsidR="007F31F0" w:rsidRPr="00465E26" w:rsidRDefault="00777689" w:rsidP="00CC3077">
            <w:pPr>
              <w:widowControl w:val="0"/>
              <w:spacing w:after="0" w:line="240" w:lineRule="auto"/>
              <w:rPr>
                <w:rFonts w:ascii="Times New Roman" w:hAnsi="Times New Roman"/>
                <w:b/>
                <w:bCs/>
                <w:szCs w:val="24"/>
              </w:rPr>
            </w:pPr>
            <w:r>
              <w:rPr>
                <w:rFonts w:ascii="Times New Roman" w:hAnsi="Times New Roman"/>
                <w:b/>
                <w:bCs/>
                <w:sz w:val="24"/>
                <w:szCs w:val="24"/>
                <w:u w:val="single"/>
              </w:rPr>
              <w:t>555</w:t>
            </w:r>
            <w:r w:rsidR="000C500F">
              <w:rPr>
                <w:rFonts w:ascii="Times New Roman" w:hAnsi="Times New Roman"/>
                <w:b/>
                <w:bCs/>
                <w:sz w:val="24"/>
                <w:szCs w:val="24"/>
                <w:u w:val="single"/>
              </w:rPr>
              <w:t xml:space="preserve"> 000</w:t>
            </w:r>
            <w:r w:rsidR="00003C96">
              <w:rPr>
                <w:rFonts w:ascii="Times New Roman" w:hAnsi="Times New Roman"/>
                <w:b/>
                <w:bCs/>
                <w:sz w:val="24"/>
                <w:szCs w:val="24"/>
                <w:u w:val="single"/>
              </w:rPr>
              <w:t>,00</w:t>
            </w:r>
            <w:r w:rsidR="00BD7606" w:rsidRPr="00465E26">
              <w:rPr>
                <w:rFonts w:ascii="Times New Roman" w:hAnsi="Times New Roman"/>
                <w:b/>
                <w:szCs w:val="24"/>
              </w:rPr>
              <w:t xml:space="preserve"> </w:t>
            </w:r>
            <w:r w:rsidR="007F31F0" w:rsidRPr="00465E26">
              <w:rPr>
                <w:rFonts w:ascii="Times New Roman" w:hAnsi="Times New Roman"/>
                <w:bCs/>
                <w:szCs w:val="24"/>
              </w:rPr>
              <w:t>рублей,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w:t>
            </w:r>
            <w:r w:rsidRPr="00465E26">
              <w:rPr>
                <w:rFonts w:ascii="Times New Roman" w:hAnsi="Times New Roman" w:cs="Times New Roman"/>
                <w:color w:val="000000"/>
                <w:sz w:val="22"/>
                <w:szCs w:val="24"/>
              </w:rPr>
              <w:lastRenderedPageBreak/>
              <w:t xml:space="preserve">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777689">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777689">
              <w:rPr>
                <w:rFonts w:ascii="Times New Roman" w:hAnsi="Times New Roman" w:cs="Times New Roman"/>
                <w:sz w:val="22"/>
                <w:szCs w:val="24"/>
              </w:rPr>
              <w:t>Санкт- Петербург</w:t>
            </w:r>
            <w:r w:rsidR="000C500F">
              <w:rPr>
                <w:rFonts w:ascii="Times New Roman" w:hAnsi="Times New Roman" w:cs="Times New Roman"/>
                <w:sz w:val="22"/>
                <w:szCs w:val="24"/>
              </w:rPr>
              <w:t>.</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lastRenderedPageBreak/>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w:t>
            </w:r>
            <w:r w:rsidRPr="00465E26">
              <w:rPr>
                <w:sz w:val="22"/>
                <w:szCs w:val="24"/>
              </w:rPr>
              <w:lastRenderedPageBreak/>
              <w:t>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777689">
              <w:rPr>
                <w:bCs w:val="0"/>
                <w:sz w:val="22"/>
                <w:szCs w:val="24"/>
              </w:rPr>
              <w:t>3</w:t>
            </w:r>
            <w:r w:rsidR="00E464E9">
              <w:rPr>
                <w:bCs w:val="0"/>
                <w:sz w:val="22"/>
                <w:szCs w:val="24"/>
              </w:rPr>
              <w:t>1</w:t>
            </w:r>
            <w:r w:rsidRPr="00465E26">
              <w:rPr>
                <w:bCs w:val="0"/>
                <w:sz w:val="22"/>
                <w:szCs w:val="24"/>
              </w:rPr>
              <w:t>»</w:t>
            </w:r>
            <w:r w:rsidR="00E4678E" w:rsidRPr="00465E26">
              <w:rPr>
                <w:bCs w:val="0"/>
                <w:sz w:val="22"/>
                <w:szCs w:val="24"/>
              </w:rPr>
              <w:t xml:space="preserve"> </w:t>
            </w:r>
            <w:r w:rsidR="000C500F">
              <w:rPr>
                <w:bCs w:val="0"/>
                <w:sz w:val="22"/>
                <w:szCs w:val="24"/>
              </w:rPr>
              <w:t>января</w:t>
            </w:r>
            <w:r w:rsidR="007D7F83" w:rsidRPr="00465E26">
              <w:rPr>
                <w:bCs w:val="0"/>
                <w:sz w:val="22"/>
                <w:szCs w:val="24"/>
              </w:rPr>
              <w:t xml:space="preserve"> </w:t>
            </w:r>
            <w:r w:rsidR="0057141C" w:rsidRPr="00465E26">
              <w:rPr>
                <w:bCs w:val="0"/>
                <w:sz w:val="22"/>
                <w:szCs w:val="24"/>
              </w:rPr>
              <w:t>201</w:t>
            </w:r>
            <w:r w:rsidR="000C500F">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465E26">
              <w:rPr>
                <w:bCs w:val="0"/>
                <w:sz w:val="22"/>
                <w:szCs w:val="24"/>
              </w:rPr>
              <w:t>«</w:t>
            </w:r>
            <w:r w:rsidR="00777689">
              <w:rPr>
                <w:bCs w:val="0"/>
                <w:sz w:val="22"/>
                <w:szCs w:val="24"/>
              </w:rPr>
              <w:t>0</w:t>
            </w:r>
            <w:r w:rsidR="00E464E9">
              <w:rPr>
                <w:bCs w:val="0"/>
                <w:sz w:val="22"/>
                <w:szCs w:val="24"/>
              </w:rPr>
              <w:t>3</w:t>
            </w:r>
            <w:r w:rsidRPr="00465E26">
              <w:rPr>
                <w:bCs w:val="0"/>
                <w:sz w:val="22"/>
                <w:szCs w:val="24"/>
              </w:rPr>
              <w:t>»</w:t>
            </w:r>
            <w:r w:rsidR="00E4678E" w:rsidRPr="00465E26">
              <w:rPr>
                <w:bCs w:val="0"/>
                <w:sz w:val="22"/>
                <w:szCs w:val="24"/>
              </w:rPr>
              <w:t xml:space="preserve"> </w:t>
            </w:r>
            <w:r w:rsidR="00777689">
              <w:rPr>
                <w:bCs w:val="0"/>
                <w:sz w:val="22"/>
                <w:szCs w:val="24"/>
              </w:rPr>
              <w:t>февраля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EA22FD" w:rsidRPr="00465E26">
              <w:rPr>
                <w:bCs w:val="0"/>
                <w:sz w:val="22"/>
                <w:szCs w:val="24"/>
              </w:rPr>
              <w:t xml:space="preserve"> г.  </w:t>
            </w:r>
            <w:r w:rsidR="00BD61E1" w:rsidRPr="00465E26">
              <w:rPr>
                <w:bCs w:val="0"/>
                <w:sz w:val="22"/>
                <w:szCs w:val="24"/>
              </w:rPr>
              <w:t>1</w:t>
            </w:r>
            <w:r w:rsidR="007A0002">
              <w:rPr>
                <w:bCs w:val="0"/>
                <w:sz w:val="22"/>
                <w:szCs w:val="24"/>
              </w:rPr>
              <w:t>6</w:t>
            </w:r>
            <w:bookmarkStart w:id="92" w:name="_GoBack"/>
            <w:bookmarkEnd w:id="92"/>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777689">
              <w:rPr>
                <w:bCs w:val="0"/>
                <w:sz w:val="22"/>
                <w:szCs w:val="24"/>
              </w:rPr>
              <w:t>0</w:t>
            </w:r>
            <w:r w:rsidR="00E464E9">
              <w:rPr>
                <w:bCs w:val="0"/>
                <w:sz w:val="22"/>
                <w:szCs w:val="24"/>
              </w:rPr>
              <w:t>6</w:t>
            </w:r>
            <w:r w:rsidR="006773F9" w:rsidRPr="00465E26">
              <w:rPr>
                <w:bCs w:val="0"/>
                <w:sz w:val="22"/>
                <w:szCs w:val="24"/>
              </w:rPr>
              <w:t>»</w:t>
            </w:r>
            <w:r w:rsidR="00E4678E" w:rsidRPr="00465E26">
              <w:rPr>
                <w:bCs w:val="0"/>
                <w:sz w:val="22"/>
                <w:szCs w:val="24"/>
              </w:rPr>
              <w:t xml:space="preserve"> </w:t>
            </w:r>
            <w:r w:rsidR="00777689">
              <w:rPr>
                <w:bCs w:val="0"/>
                <w:sz w:val="22"/>
                <w:szCs w:val="24"/>
              </w:rPr>
              <w:t>февраля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E464E9">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777689">
              <w:rPr>
                <w:bCs w:val="0"/>
                <w:sz w:val="22"/>
                <w:szCs w:val="24"/>
              </w:rPr>
              <w:t>0</w:t>
            </w:r>
            <w:r w:rsidR="00E464E9">
              <w:rPr>
                <w:bCs w:val="0"/>
                <w:sz w:val="22"/>
                <w:szCs w:val="24"/>
              </w:rPr>
              <w:t>6</w:t>
            </w:r>
            <w:r w:rsidR="006773F9" w:rsidRPr="00465E26">
              <w:rPr>
                <w:bCs w:val="0"/>
                <w:sz w:val="22"/>
                <w:szCs w:val="24"/>
              </w:rPr>
              <w:t>»</w:t>
            </w:r>
            <w:r w:rsidR="00E4678E" w:rsidRPr="00465E26">
              <w:rPr>
                <w:bCs w:val="0"/>
                <w:sz w:val="22"/>
                <w:szCs w:val="24"/>
              </w:rPr>
              <w:t xml:space="preserve"> </w:t>
            </w:r>
            <w:r w:rsidR="00777689">
              <w:rPr>
                <w:bCs w:val="0"/>
                <w:sz w:val="22"/>
                <w:szCs w:val="24"/>
              </w:rPr>
              <w:t>февраля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tbl>
      <w:tblPr>
        <w:tblW w:w="1022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87"/>
        <w:gridCol w:w="1293"/>
        <w:gridCol w:w="1599"/>
        <w:gridCol w:w="1234"/>
        <w:gridCol w:w="1039"/>
        <w:gridCol w:w="857"/>
      </w:tblGrid>
      <w:tr w:rsidR="00777689" w:rsidRPr="00777689" w:rsidTr="00777689">
        <w:trPr>
          <w:trHeight w:val="1663"/>
        </w:trPr>
        <w:tc>
          <w:tcPr>
            <w:tcW w:w="720" w:type="dxa"/>
            <w:tcBorders>
              <w:top w:val="single" w:sz="4" w:space="0" w:color="auto"/>
              <w:left w:val="single" w:sz="4" w:space="0" w:color="auto"/>
              <w:bottom w:val="single" w:sz="4" w:space="0" w:color="auto"/>
              <w:right w:val="single" w:sz="4" w:space="0" w:color="auto"/>
            </w:tcBorders>
          </w:tcPr>
          <w:p w:rsidR="00777689" w:rsidRPr="00777689" w:rsidRDefault="00777689">
            <w:pPr>
              <w:ind w:left="381"/>
              <w:rPr>
                <w:rFonts w:ascii="Times New Roman" w:hAnsi="Times New Roman"/>
                <w:sz w:val="24"/>
                <w:szCs w:val="24"/>
              </w:rPr>
            </w:pPr>
          </w:p>
          <w:p w:rsidR="00777689" w:rsidRPr="00777689" w:rsidRDefault="00777689">
            <w:pPr>
              <w:rPr>
                <w:rFonts w:ascii="Times New Roman" w:hAnsi="Times New Roman"/>
                <w:sz w:val="24"/>
                <w:szCs w:val="24"/>
              </w:rPr>
            </w:pPr>
            <w:r w:rsidRPr="00777689">
              <w:rPr>
                <w:rFonts w:ascii="Times New Roman" w:hAnsi="Times New Roman"/>
                <w:sz w:val="24"/>
                <w:szCs w:val="24"/>
              </w:rPr>
              <w:t>№</w:t>
            </w:r>
          </w:p>
          <w:p w:rsidR="00777689" w:rsidRPr="00777689" w:rsidRDefault="00777689">
            <w:pPr>
              <w:rPr>
                <w:rFonts w:ascii="Times New Roman" w:hAnsi="Times New Roman"/>
                <w:sz w:val="24"/>
                <w:szCs w:val="24"/>
                <w:lang w:eastAsia="en-US"/>
              </w:rPr>
            </w:pPr>
          </w:p>
        </w:tc>
        <w:tc>
          <w:tcPr>
            <w:tcW w:w="3488"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4"/>
                <w:szCs w:val="24"/>
              </w:rPr>
            </w:pPr>
          </w:p>
          <w:p w:rsidR="00777689" w:rsidRPr="00777689" w:rsidRDefault="00777689">
            <w:pPr>
              <w:rPr>
                <w:rFonts w:ascii="Times New Roman" w:hAnsi="Times New Roman"/>
                <w:sz w:val="28"/>
                <w:szCs w:val="28"/>
                <w:lang w:eastAsia="en-US"/>
              </w:rPr>
            </w:pPr>
            <w:r w:rsidRPr="00777689">
              <w:rPr>
                <w:rFonts w:ascii="Times New Roman" w:hAnsi="Times New Roman"/>
                <w:sz w:val="28"/>
                <w:szCs w:val="28"/>
              </w:rPr>
              <w:t>Наименование</w:t>
            </w:r>
          </w:p>
        </w:tc>
        <w:tc>
          <w:tcPr>
            <w:tcW w:w="1291"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4"/>
                <w:szCs w:val="24"/>
              </w:rPr>
            </w:pPr>
          </w:p>
          <w:p w:rsidR="00777689" w:rsidRPr="00777689" w:rsidRDefault="00777689">
            <w:pPr>
              <w:rPr>
                <w:rFonts w:ascii="Times New Roman" w:hAnsi="Times New Roman"/>
                <w:sz w:val="28"/>
                <w:szCs w:val="28"/>
              </w:rPr>
            </w:pPr>
            <w:r w:rsidRPr="00777689">
              <w:rPr>
                <w:rFonts w:ascii="Times New Roman" w:hAnsi="Times New Roman"/>
                <w:sz w:val="28"/>
                <w:szCs w:val="28"/>
              </w:rPr>
              <w:t>№ артикула</w:t>
            </w:r>
          </w:p>
          <w:p w:rsidR="00777689" w:rsidRPr="00777689" w:rsidRDefault="00777689">
            <w:pPr>
              <w:rPr>
                <w:rFonts w:ascii="Times New Roman" w:hAnsi="Times New Roman"/>
                <w:sz w:val="24"/>
                <w:szCs w:val="24"/>
                <w:lang w:eastAsia="en-US"/>
              </w:rPr>
            </w:pPr>
          </w:p>
        </w:tc>
        <w:tc>
          <w:tcPr>
            <w:tcW w:w="1600"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4"/>
                <w:szCs w:val="24"/>
              </w:rPr>
            </w:pPr>
          </w:p>
          <w:p w:rsidR="00777689" w:rsidRPr="00777689" w:rsidRDefault="00777689">
            <w:pPr>
              <w:rPr>
                <w:rFonts w:ascii="Times New Roman" w:hAnsi="Times New Roman"/>
                <w:sz w:val="28"/>
                <w:szCs w:val="28"/>
              </w:rPr>
            </w:pPr>
            <w:r w:rsidRPr="00777689">
              <w:rPr>
                <w:rFonts w:ascii="Times New Roman" w:hAnsi="Times New Roman"/>
                <w:sz w:val="28"/>
                <w:szCs w:val="28"/>
              </w:rPr>
              <w:t>Шифр рисунка</w:t>
            </w:r>
          </w:p>
          <w:p w:rsidR="00777689" w:rsidRPr="00777689" w:rsidRDefault="00777689">
            <w:pPr>
              <w:rPr>
                <w:rFonts w:ascii="Times New Roman" w:hAnsi="Times New Roman"/>
                <w:sz w:val="24"/>
                <w:szCs w:val="24"/>
                <w:lang w:eastAsia="en-US"/>
              </w:rPr>
            </w:pPr>
          </w:p>
        </w:tc>
        <w:tc>
          <w:tcPr>
            <w:tcW w:w="1234"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4"/>
                <w:szCs w:val="24"/>
              </w:rPr>
            </w:pPr>
          </w:p>
          <w:p w:rsidR="00777689" w:rsidRPr="00777689" w:rsidRDefault="00777689">
            <w:pPr>
              <w:rPr>
                <w:rFonts w:ascii="Times New Roman" w:hAnsi="Times New Roman"/>
                <w:sz w:val="28"/>
                <w:szCs w:val="28"/>
              </w:rPr>
            </w:pPr>
            <w:r w:rsidRPr="00777689">
              <w:rPr>
                <w:rFonts w:ascii="Times New Roman" w:hAnsi="Times New Roman"/>
                <w:sz w:val="28"/>
                <w:szCs w:val="28"/>
              </w:rPr>
              <w:t>№</w:t>
            </w:r>
          </w:p>
          <w:p w:rsidR="00777689" w:rsidRPr="00777689" w:rsidRDefault="00777689">
            <w:pPr>
              <w:rPr>
                <w:rFonts w:ascii="Times New Roman" w:hAnsi="Times New Roman"/>
                <w:sz w:val="28"/>
                <w:szCs w:val="28"/>
              </w:rPr>
            </w:pPr>
            <w:r w:rsidRPr="00777689">
              <w:rPr>
                <w:rFonts w:ascii="Times New Roman" w:hAnsi="Times New Roman"/>
                <w:sz w:val="28"/>
                <w:szCs w:val="28"/>
              </w:rPr>
              <w:t>позиции</w:t>
            </w:r>
          </w:p>
          <w:p w:rsidR="00777689" w:rsidRPr="00777689" w:rsidRDefault="00777689">
            <w:pPr>
              <w:rPr>
                <w:rFonts w:ascii="Times New Roman" w:hAnsi="Times New Roman"/>
                <w:sz w:val="24"/>
                <w:szCs w:val="24"/>
                <w:lang w:eastAsia="en-US"/>
              </w:rPr>
            </w:pPr>
          </w:p>
        </w:tc>
        <w:tc>
          <w:tcPr>
            <w:tcW w:w="1039"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8"/>
                <w:szCs w:val="28"/>
              </w:rPr>
            </w:pPr>
          </w:p>
          <w:p w:rsidR="00777689" w:rsidRPr="00777689" w:rsidRDefault="00777689">
            <w:pPr>
              <w:rPr>
                <w:rFonts w:ascii="Times New Roman" w:hAnsi="Times New Roman"/>
                <w:sz w:val="28"/>
                <w:szCs w:val="28"/>
              </w:rPr>
            </w:pPr>
            <w:proofErr w:type="spellStart"/>
            <w:r w:rsidRPr="00777689">
              <w:rPr>
                <w:rFonts w:ascii="Times New Roman" w:hAnsi="Times New Roman"/>
                <w:sz w:val="28"/>
                <w:szCs w:val="28"/>
              </w:rPr>
              <w:t>Ед</w:t>
            </w:r>
            <w:proofErr w:type="gramStart"/>
            <w:r w:rsidRPr="00777689">
              <w:rPr>
                <w:rFonts w:ascii="Times New Roman" w:hAnsi="Times New Roman"/>
                <w:sz w:val="28"/>
                <w:szCs w:val="28"/>
              </w:rPr>
              <w:t>.и</w:t>
            </w:r>
            <w:proofErr w:type="gramEnd"/>
            <w:r w:rsidRPr="00777689">
              <w:rPr>
                <w:rFonts w:ascii="Times New Roman" w:hAnsi="Times New Roman"/>
                <w:sz w:val="28"/>
                <w:szCs w:val="28"/>
              </w:rPr>
              <w:t>зм</w:t>
            </w:r>
            <w:proofErr w:type="spellEnd"/>
          </w:p>
          <w:p w:rsidR="00777689" w:rsidRPr="00777689" w:rsidRDefault="00777689">
            <w:pPr>
              <w:rPr>
                <w:rFonts w:ascii="Times New Roman" w:hAnsi="Times New Roman"/>
                <w:sz w:val="28"/>
                <w:szCs w:val="28"/>
                <w:lang w:eastAsia="en-US"/>
              </w:rPr>
            </w:pPr>
          </w:p>
        </w:tc>
        <w:tc>
          <w:tcPr>
            <w:tcW w:w="857" w:type="dxa"/>
            <w:tcBorders>
              <w:top w:val="single" w:sz="4" w:space="0" w:color="auto"/>
              <w:left w:val="single" w:sz="4" w:space="0" w:color="auto"/>
              <w:bottom w:val="single" w:sz="4" w:space="0" w:color="auto"/>
              <w:right w:val="single" w:sz="4" w:space="0" w:color="auto"/>
            </w:tcBorders>
          </w:tcPr>
          <w:p w:rsidR="00777689" w:rsidRPr="00777689" w:rsidRDefault="00777689">
            <w:pPr>
              <w:rPr>
                <w:rFonts w:ascii="Times New Roman" w:hAnsi="Times New Roman"/>
                <w:sz w:val="28"/>
                <w:szCs w:val="28"/>
              </w:rPr>
            </w:pPr>
          </w:p>
          <w:p w:rsidR="00777689" w:rsidRPr="00777689" w:rsidRDefault="00777689">
            <w:pPr>
              <w:rPr>
                <w:rFonts w:ascii="Times New Roman" w:hAnsi="Times New Roman"/>
                <w:sz w:val="28"/>
                <w:szCs w:val="28"/>
              </w:rPr>
            </w:pPr>
            <w:r w:rsidRPr="00777689">
              <w:rPr>
                <w:rFonts w:ascii="Times New Roman" w:hAnsi="Times New Roman"/>
                <w:sz w:val="28"/>
                <w:szCs w:val="28"/>
              </w:rPr>
              <w:t>Кол-во</w:t>
            </w:r>
          </w:p>
          <w:p w:rsidR="00777689" w:rsidRPr="00777689" w:rsidRDefault="00777689">
            <w:pPr>
              <w:rPr>
                <w:rFonts w:ascii="Times New Roman" w:hAnsi="Times New Roman"/>
                <w:sz w:val="28"/>
                <w:szCs w:val="28"/>
                <w:lang w:eastAsia="en-US"/>
              </w:rPr>
            </w:pPr>
          </w:p>
        </w:tc>
      </w:tr>
      <w:tr w:rsidR="00777689" w:rsidRPr="00777689" w:rsidTr="00777689">
        <w:trPr>
          <w:trHeight w:val="645"/>
        </w:trPr>
        <w:tc>
          <w:tcPr>
            <w:tcW w:w="720" w:type="dxa"/>
            <w:tcBorders>
              <w:top w:val="single" w:sz="4" w:space="0" w:color="auto"/>
              <w:left w:val="single" w:sz="4" w:space="0" w:color="auto"/>
              <w:bottom w:val="single" w:sz="4" w:space="0" w:color="auto"/>
              <w:right w:val="single" w:sz="4" w:space="0" w:color="auto"/>
            </w:tcBorders>
            <w:hideMark/>
          </w:tcPr>
          <w:p w:rsidR="00777689" w:rsidRPr="00777689" w:rsidRDefault="00777689">
            <w:pPr>
              <w:ind w:left="381"/>
              <w:rPr>
                <w:rFonts w:ascii="Times New Roman" w:hAnsi="Times New Roman"/>
                <w:sz w:val="24"/>
                <w:szCs w:val="24"/>
                <w:lang w:eastAsia="en-US"/>
              </w:rPr>
            </w:pPr>
            <w:r w:rsidRPr="00777689">
              <w:rPr>
                <w:rFonts w:ascii="Times New Roman" w:hAnsi="Times New Roman"/>
                <w:sz w:val="24"/>
                <w:szCs w:val="24"/>
              </w:rPr>
              <w:t>1</w:t>
            </w:r>
          </w:p>
        </w:tc>
        <w:tc>
          <w:tcPr>
            <w:tcW w:w="3488"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proofErr w:type="spellStart"/>
            <w:r w:rsidRPr="00777689">
              <w:rPr>
                <w:rFonts w:ascii="Times New Roman" w:hAnsi="Times New Roman"/>
                <w:sz w:val="24"/>
                <w:szCs w:val="24"/>
              </w:rPr>
              <w:t>Виброглушитель</w:t>
            </w:r>
            <w:proofErr w:type="spellEnd"/>
            <w:r w:rsidRPr="00777689">
              <w:rPr>
                <w:rFonts w:ascii="Times New Roman" w:hAnsi="Times New Roman"/>
                <w:sz w:val="24"/>
                <w:szCs w:val="24"/>
              </w:rPr>
              <w:t xml:space="preserve"> (</w:t>
            </w:r>
            <w:proofErr w:type="spellStart"/>
            <w:r w:rsidRPr="00777689">
              <w:rPr>
                <w:rFonts w:ascii="Times New Roman" w:hAnsi="Times New Roman"/>
                <w:sz w:val="24"/>
                <w:szCs w:val="24"/>
                <w:lang w:val="en-US"/>
              </w:rPr>
              <w:t>Schwingungsdampfer</w:t>
            </w:r>
            <w:proofErr w:type="spellEnd"/>
            <w:r w:rsidRPr="00777689">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276177</w:t>
            </w:r>
          </w:p>
        </w:tc>
        <w:tc>
          <w:tcPr>
            <w:tcW w:w="1600"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104-02-071</w:t>
            </w:r>
          </w:p>
        </w:tc>
        <w:tc>
          <w:tcPr>
            <w:tcW w:w="1234"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22</w:t>
            </w:r>
          </w:p>
        </w:tc>
        <w:tc>
          <w:tcPr>
            <w:tcW w:w="1039"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2</w:t>
            </w:r>
          </w:p>
        </w:tc>
      </w:tr>
      <w:tr w:rsidR="00777689" w:rsidRPr="00777689" w:rsidTr="00777689">
        <w:trPr>
          <w:trHeight w:val="972"/>
        </w:trPr>
        <w:tc>
          <w:tcPr>
            <w:tcW w:w="720" w:type="dxa"/>
            <w:tcBorders>
              <w:top w:val="single" w:sz="4" w:space="0" w:color="auto"/>
              <w:left w:val="single" w:sz="4" w:space="0" w:color="auto"/>
              <w:bottom w:val="single" w:sz="4" w:space="0" w:color="auto"/>
              <w:right w:val="single" w:sz="4" w:space="0" w:color="auto"/>
            </w:tcBorders>
            <w:hideMark/>
          </w:tcPr>
          <w:p w:rsidR="00777689" w:rsidRPr="00777689" w:rsidRDefault="00777689">
            <w:pPr>
              <w:ind w:left="381"/>
              <w:rPr>
                <w:rFonts w:ascii="Times New Roman" w:hAnsi="Times New Roman"/>
                <w:sz w:val="24"/>
                <w:szCs w:val="24"/>
                <w:lang w:val="en-US" w:eastAsia="en-US"/>
              </w:rPr>
            </w:pPr>
            <w:r w:rsidRPr="00777689">
              <w:rPr>
                <w:rFonts w:ascii="Times New Roman" w:hAnsi="Times New Roman"/>
                <w:sz w:val="24"/>
                <w:szCs w:val="24"/>
                <w:lang w:val="en-US"/>
              </w:rPr>
              <w:t>2</w:t>
            </w:r>
          </w:p>
        </w:tc>
        <w:tc>
          <w:tcPr>
            <w:tcW w:w="3488"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rPr>
              <w:t>Помпа</w:t>
            </w:r>
            <w:r w:rsidRPr="00777689">
              <w:rPr>
                <w:rFonts w:ascii="Times New Roman" w:hAnsi="Times New Roman"/>
                <w:sz w:val="24"/>
                <w:szCs w:val="24"/>
                <w:lang w:val="en-US"/>
              </w:rPr>
              <w:t>-</w:t>
            </w:r>
            <w:r w:rsidRPr="00777689">
              <w:rPr>
                <w:rFonts w:ascii="Times New Roman" w:hAnsi="Times New Roman"/>
                <w:sz w:val="24"/>
                <w:szCs w:val="24"/>
              </w:rPr>
              <w:t>насос</w:t>
            </w:r>
            <w:r w:rsidRPr="00777689">
              <w:rPr>
                <w:rFonts w:ascii="Times New Roman" w:hAnsi="Times New Roman"/>
                <w:sz w:val="24"/>
                <w:szCs w:val="24"/>
                <w:lang w:val="en-US"/>
              </w:rPr>
              <w:t xml:space="preserve"> </w:t>
            </w:r>
            <w:r w:rsidRPr="00777689">
              <w:rPr>
                <w:rFonts w:ascii="Times New Roman" w:hAnsi="Times New Roman"/>
                <w:sz w:val="24"/>
                <w:szCs w:val="24"/>
              </w:rPr>
              <w:t>водяного</w:t>
            </w:r>
            <w:r w:rsidRPr="00777689">
              <w:rPr>
                <w:rFonts w:ascii="Times New Roman" w:hAnsi="Times New Roman"/>
                <w:sz w:val="24"/>
                <w:szCs w:val="24"/>
                <w:lang w:val="en-US"/>
              </w:rPr>
              <w:t xml:space="preserve"> </w:t>
            </w:r>
            <w:proofErr w:type="spellStart"/>
            <w:r w:rsidRPr="00777689">
              <w:rPr>
                <w:rFonts w:ascii="Times New Roman" w:hAnsi="Times New Roman"/>
                <w:sz w:val="24"/>
                <w:szCs w:val="24"/>
              </w:rPr>
              <w:t>оххлаждения</w:t>
            </w:r>
            <w:proofErr w:type="spellEnd"/>
            <w:r w:rsidRPr="00777689">
              <w:rPr>
                <w:rFonts w:ascii="Times New Roman" w:hAnsi="Times New Roman"/>
                <w:sz w:val="24"/>
                <w:szCs w:val="24"/>
                <w:lang w:val="en-US"/>
              </w:rPr>
              <w:t xml:space="preserve">  (</w:t>
            </w:r>
            <w:proofErr w:type="spellStart"/>
            <w:r w:rsidRPr="00777689">
              <w:rPr>
                <w:rFonts w:ascii="Times New Roman" w:hAnsi="Times New Roman"/>
                <w:sz w:val="24"/>
                <w:szCs w:val="24"/>
                <w:lang w:val="en-US"/>
              </w:rPr>
              <w:t>Kuhlwasserpumpe</w:t>
            </w:r>
            <w:proofErr w:type="spellEnd"/>
            <w:r w:rsidRPr="00777689">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259839</w:t>
            </w:r>
          </w:p>
        </w:tc>
        <w:tc>
          <w:tcPr>
            <w:tcW w:w="1600"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104-17-136</w:t>
            </w:r>
          </w:p>
        </w:tc>
        <w:tc>
          <w:tcPr>
            <w:tcW w:w="1234"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000</w:t>
            </w:r>
          </w:p>
        </w:tc>
        <w:tc>
          <w:tcPr>
            <w:tcW w:w="1039"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w:t>
            </w:r>
          </w:p>
        </w:tc>
      </w:tr>
      <w:tr w:rsidR="00777689" w:rsidRPr="00777689" w:rsidTr="00777689">
        <w:trPr>
          <w:trHeight w:val="859"/>
        </w:trPr>
        <w:tc>
          <w:tcPr>
            <w:tcW w:w="720" w:type="dxa"/>
            <w:tcBorders>
              <w:top w:val="single" w:sz="4" w:space="0" w:color="auto"/>
              <w:left w:val="single" w:sz="4" w:space="0" w:color="auto"/>
              <w:bottom w:val="single" w:sz="4" w:space="0" w:color="auto"/>
              <w:right w:val="single" w:sz="4" w:space="0" w:color="auto"/>
            </w:tcBorders>
            <w:hideMark/>
          </w:tcPr>
          <w:p w:rsidR="00777689" w:rsidRPr="00777689" w:rsidRDefault="00777689">
            <w:pPr>
              <w:ind w:left="381"/>
              <w:rPr>
                <w:rFonts w:ascii="Times New Roman" w:hAnsi="Times New Roman"/>
                <w:sz w:val="24"/>
                <w:szCs w:val="24"/>
                <w:lang w:eastAsia="en-US"/>
              </w:rPr>
            </w:pPr>
            <w:r w:rsidRPr="00777689">
              <w:rPr>
                <w:rFonts w:ascii="Times New Roman" w:hAnsi="Times New Roman"/>
                <w:sz w:val="24"/>
                <w:szCs w:val="24"/>
              </w:rPr>
              <w:t>3</w:t>
            </w:r>
          </w:p>
        </w:tc>
        <w:tc>
          <w:tcPr>
            <w:tcW w:w="3488"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Высоковольтные катушки-катушки зажигания  (</w:t>
            </w:r>
            <w:proofErr w:type="spellStart"/>
            <w:r w:rsidRPr="00777689">
              <w:rPr>
                <w:rFonts w:ascii="Times New Roman" w:hAnsi="Times New Roman"/>
                <w:sz w:val="24"/>
                <w:szCs w:val="24"/>
                <w:lang w:val="en-US"/>
              </w:rPr>
              <w:t>Zundspule</w:t>
            </w:r>
            <w:proofErr w:type="spellEnd"/>
            <w:r w:rsidRPr="00777689">
              <w:rPr>
                <w:rFonts w:ascii="Times New Roman" w:hAnsi="Times New Roman"/>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118257</w:t>
            </w:r>
          </w:p>
        </w:tc>
        <w:tc>
          <w:tcPr>
            <w:tcW w:w="1600"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107-00-263</w:t>
            </w:r>
          </w:p>
        </w:tc>
        <w:tc>
          <w:tcPr>
            <w:tcW w:w="1234"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008</w:t>
            </w:r>
          </w:p>
        </w:tc>
        <w:tc>
          <w:tcPr>
            <w:tcW w:w="1039"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2</w:t>
            </w:r>
          </w:p>
        </w:tc>
      </w:tr>
      <w:tr w:rsidR="00777689" w:rsidRPr="00777689" w:rsidTr="00777689">
        <w:trPr>
          <w:trHeight w:val="828"/>
        </w:trPr>
        <w:tc>
          <w:tcPr>
            <w:tcW w:w="720" w:type="dxa"/>
            <w:tcBorders>
              <w:top w:val="single" w:sz="4" w:space="0" w:color="auto"/>
              <w:left w:val="single" w:sz="4" w:space="0" w:color="auto"/>
              <w:bottom w:val="single" w:sz="4" w:space="0" w:color="auto"/>
              <w:right w:val="single" w:sz="4" w:space="0" w:color="auto"/>
            </w:tcBorders>
            <w:hideMark/>
          </w:tcPr>
          <w:p w:rsidR="00777689" w:rsidRPr="00777689" w:rsidRDefault="00777689">
            <w:pPr>
              <w:ind w:left="381"/>
              <w:rPr>
                <w:rFonts w:ascii="Times New Roman" w:hAnsi="Times New Roman"/>
                <w:sz w:val="24"/>
                <w:szCs w:val="24"/>
                <w:lang w:val="en-US" w:eastAsia="en-US"/>
              </w:rPr>
            </w:pPr>
            <w:r w:rsidRPr="00777689">
              <w:rPr>
                <w:rFonts w:ascii="Times New Roman" w:hAnsi="Times New Roman"/>
                <w:sz w:val="24"/>
                <w:szCs w:val="24"/>
                <w:lang w:val="en-US"/>
              </w:rPr>
              <w:t>4</w:t>
            </w:r>
          </w:p>
        </w:tc>
        <w:tc>
          <w:tcPr>
            <w:tcW w:w="3488"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Наконечники-штекеры запальной свечи  (</w:t>
            </w:r>
            <w:proofErr w:type="spellStart"/>
            <w:r w:rsidRPr="00777689">
              <w:rPr>
                <w:rFonts w:ascii="Times New Roman" w:hAnsi="Times New Roman"/>
                <w:sz w:val="24"/>
                <w:szCs w:val="24"/>
                <w:lang w:val="en-US"/>
              </w:rPr>
              <w:t>Zundkerzenstecker</w:t>
            </w:r>
            <w:proofErr w:type="spellEnd"/>
            <w:r w:rsidRPr="00777689">
              <w:rPr>
                <w:rFonts w:ascii="Times New Roman" w:hAnsi="Times New Roman"/>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341924</w:t>
            </w:r>
          </w:p>
        </w:tc>
        <w:tc>
          <w:tcPr>
            <w:tcW w:w="1600"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107-00-263</w:t>
            </w:r>
          </w:p>
        </w:tc>
        <w:tc>
          <w:tcPr>
            <w:tcW w:w="1234"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012</w:t>
            </w:r>
          </w:p>
        </w:tc>
        <w:tc>
          <w:tcPr>
            <w:tcW w:w="1039"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4</w:t>
            </w:r>
          </w:p>
        </w:tc>
      </w:tr>
      <w:tr w:rsidR="00777689" w:rsidRPr="00777689" w:rsidTr="00777689">
        <w:trPr>
          <w:trHeight w:val="710"/>
        </w:trPr>
        <w:tc>
          <w:tcPr>
            <w:tcW w:w="720" w:type="dxa"/>
            <w:tcBorders>
              <w:top w:val="single" w:sz="4" w:space="0" w:color="auto"/>
              <w:left w:val="single" w:sz="4" w:space="0" w:color="auto"/>
              <w:bottom w:val="single" w:sz="4" w:space="0" w:color="auto"/>
              <w:right w:val="single" w:sz="4" w:space="0" w:color="auto"/>
            </w:tcBorders>
            <w:hideMark/>
          </w:tcPr>
          <w:p w:rsidR="00777689" w:rsidRPr="00777689" w:rsidRDefault="00777689">
            <w:pPr>
              <w:ind w:left="381"/>
              <w:rPr>
                <w:rFonts w:ascii="Times New Roman" w:hAnsi="Times New Roman"/>
                <w:sz w:val="24"/>
                <w:szCs w:val="24"/>
                <w:lang w:val="en-US" w:eastAsia="en-US"/>
              </w:rPr>
            </w:pPr>
            <w:r w:rsidRPr="00777689">
              <w:rPr>
                <w:rFonts w:ascii="Times New Roman" w:hAnsi="Times New Roman"/>
                <w:sz w:val="24"/>
                <w:szCs w:val="24"/>
                <w:lang w:val="en-US"/>
              </w:rPr>
              <w:t>5</w:t>
            </w:r>
          </w:p>
        </w:tc>
        <w:tc>
          <w:tcPr>
            <w:tcW w:w="3488"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rPr>
              <w:t xml:space="preserve">Мотор вентилятора (Привод </w:t>
            </w:r>
            <w:proofErr w:type="gramStart"/>
            <w:r w:rsidRPr="00777689">
              <w:rPr>
                <w:rFonts w:ascii="Times New Roman" w:hAnsi="Times New Roman"/>
                <w:sz w:val="24"/>
                <w:szCs w:val="24"/>
              </w:rPr>
              <w:t>А</w:t>
            </w:r>
            <w:proofErr w:type="spellStart"/>
            <w:proofErr w:type="gramEnd"/>
            <w:r w:rsidRPr="00777689">
              <w:rPr>
                <w:rFonts w:ascii="Times New Roman" w:hAnsi="Times New Roman"/>
                <w:sz w:val="24"/>
                <w:szCs w:val="24"/>
                <w:lang w:val="en-US"/>
              </w:rPr>
              <w:t>ntrieb</w:t>
            </w:r>
            <w:proofErr w:type="spellEnd"/>
            <w:r w:rsidRPr="00777689">
              <w:rPr>
                <w:rFonts w:ascii="Times New Roman" w:hAnsi="Times New Roman"/>
                <w:sz w:val="24"/>
                <w:szCs w:val="24"/>
                <w:lang w:val="en-US"/>
              </w:rPr>
              <w:t>)</w:t>
            </w:r>
          </w:p>
        </w:tc>
        <w:tc>
          <w:tcPr>
            <w:tcW w:w="1291"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291600</w:t>
            </w:r>
          </w:p>
        </w:tc>
        <w:tc>
          <w:tcPr>
            <w:tcW w:w="1600"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404-19-977</w:t>
            </w:r>
          </w:p>
        </w:tc>
        <w:tc>
          <w:tcPr>
            <w:tcW w:w="1234"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100</w:t>
            </w:r>
          </w:p>
        </w:tc>
        <w:tc>
          <w:tcPr>
            <w:tcW w:w="1039"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eastAsia="en-US"/>
              </w:rPr>
            </w:pPr>
            <w:r w:rsidRPr="00777689">
              <w:rPr>
                <w:rFonts w:ascii="Times New Roman" w:hAnsi="Times New Roman"/>
                <w:sz w:val="24"/>
                <w:szCs w:val="24"/>
              </w:rPr>
              <w:t>шт.</w:t>
            </w:r>
          </w:p>
        </w:tc>
        <w:tc>
          <w:tcPr>
            <w:tcW w:w="857" w:type="dxa"/>
            <w:tcBorders>
              <w:top w:val="single" w:sz="4" w:space="0" w:color="auto"/>
              <w:left w:val="single" w:sz="4" w:space="0" w:color="auto"/>
              <w:bottom w:val="single" w:sz="4" w:space="0" w:color="auto"/>
              <w:right w:val="single" w:sz="4" w:space="0" w:color="auto"/>
            </w:tcBorders>
            <w:hideMark/>
          </w:tcPr>
          <w:p w:rsidR="00777689" w:rsidRPr="00777689" w:rsidRDefault="00777689">
            <w:pPr>
              <w:rPr>
                <w:rFonts w:ascii="Times New Roman" w:hAnsi="Times New Roman"/>
                <w:sz w:val="24"/>
                <w:szCs w:val="24"/>
                <w:lang w:val="en-US" w:eastAsia="en-US"/>
              </w:rPr>
            </w:pPr>
            <w:r w:rsidRPr="00777689">
              <w:rPr>
                <w:rFonts w:ascii="Times New Roman" w:hAnsi="Times New Roman"/>
                <w:sz w:val="24"/>
                <w:szCs w:val="24"/>
                <w:lang w:val="en-US"/>
              </w:rPr>
              <w:t>1</w:t>
            </w:r>
          </w:p>
        </w:tc>
      </w:tr>
    </w:tbl>
    <w:p w:rsidR="00F217C6" w:rsidRPr="00777689" w:rsidRDefault="00F217C6" w:rsidP="00F217C6">
      <w:pPr>
        <w:pStyle w:val="af3"/>
        <w:ind w:left="1287"/>
        <w:rPr>
          <w:rFonts w:ascii="Times New Roman" w:eastAsiaTheme="minorHAnsi" w:hAnsi="Times New Roman"/>
          <w:sz w:val="24"/>
          <w:szCs w:val="24"/>
          <w:lang w:eastAsia="en-US"/>
        </w:rPr>
      </w:pPr>
    </w:p>
    <w:p w:rsidR="00F217C6" w:rsidRPr="00213C28" w:rsidRDefault="00F217C6" w:rsidP="00F217C6">
      <w:pPr>
        <w:jc w:val="both"/>
        <w:rPr>
          <w:rFonts w:ascii="Times New Roman" w:hAnsi="Times New Roman"/>
          <w:bCs/>
          <w:sz w:val="24"/>
          <w:szCs w:val="24"/>
        </w:rPr>
      </w:pPr>
      <w:r w:rsidRPr="00213C28">
        <w:rPr>
          <w:rFonts w:ascii="Times New Roman" w:hAnsi="Times New Roman"/>
          <w:b/>
          <w:bCs/>
          <w:sz w:val="24"/>
          <w:szCs w:val="24"/>
          <w:u w:val="single"/>
        </w:rPr>
        <w:t>Условия оплаты</w:t>
      </w:r>
      <w:r w:rsidRPr="00213C28">
        <w:rPr>
          <w:rFonts w:ascii="Times New Roman" w:hAnsi="Times New Roman"/>
          <w:bCs/>
          <w:sz w:val="24"/>
          <w:szCs w:val="24"/>
        </w:rPr>
        <w:t>: безналичный расчет.</w:t>
      </w:r>
    </w:p>
    <w:p w:rsidR="00F217C6" w:rsidRPr="00213C28" w:rsidRDefault="00F217C6" w:rsidP="00F217C6">
      <w:pPr>
        <w:spacing w:after="0" w:line="240" w:lineRule="auto"/>
        <w:jc w:val="both"/>
        <w:rPr>
          <w:rFonts w:ascii="Times New Roman" w:hAnsi="Times New Roman"/>
          <w:sz w:val="24"/>
          <w:szCs w:val="24"/>
        </w:rPr>
      </w:pPr>
      <w:r w:rsidRPr="00213C28">
        <w:rPr>
          <w:rFonts w:ascii="Times New Roman" w:hAnsi="Times New Roman"/>
          <w:sz w:val="24"/>
          <w:szCs w:val="24"/>
        </w:rPr>
        <w:t>Покупатель производит предваритель</w:t>
      </w:r>
      <w:r>
        <w:rPr>
          <w:rFonts w:ascii="Times New Roman" w:hAnsi="Times New Roman"/>
          <w:sz w:val="24"/>
          <w:szCs w:val="24"/>
        </w:rPr>
        <w:t xml:space="preserve">ную оплату продукции в размере </w:t>
      </w:r>
      <w:r w:rsidR="00777689">
        <w:rPr>
          <w:rFonts w:ascii="Times New Roman" w:hAnsi="Times New Roman"/>
          <w:sz w:val="24"/>
          <w:szCs w:val="24"/>
        </w:rPr>
        <w:t>5</w:t>
      </w:r>
      <w:r w:rsidRPr="00213C28">
        <w:rPr>
          <w:rFonts w:ascii="Times New Roman" w:hAnsi="Times New Roman"/>
          <w:sz w:val="24"/>
          <w:szCs w:val="24"/>
        </w:rPr>
        <w:t xml:space="preserve">0 % от суммы указанной в Договоре. Окончательный расчет за поставляемую продукцию производится </w:t>
      </w:r>
      <w:r>
        <w:rPr>
          <w:rFonts w:ascii="Times New Roman" w:hAnsi="Times New Roman"/>
          <w:sz w:val="24"/>
          <w:szCs w:val="24"/>
        </w:rPr>
        <w:t xml:space="preserve">в течение </w:t>
      </w:r>
      <w:r w:rsidR="00777689">
        <w:rPr>
          <w:rFonts w:ascii="Times New Roman" w:hAnsi="Times New Roman"/>
          <w:sz w:val="24"/>
          <w:szCs w:val="24"/>
        </w:rPr>
        <w:t xml:space="preserve">14 рабочих </w:t>
      </w:r>
      <w:r w:rsidRPr="00213C28">
        <w:rPr>
          <w:rFonts w:ascii="Times New Roman" w:hAnsi="Times New Roman"/>
          <w:sz w:val="24"/>
          <w:szCs w:val="24"/>
        </w:rPr>
        <w:t>дней с момента получения «Покупателем» продукции.</w:t>
      </w:r>
    </w:p>
    <w:p w:rsidR="00F217C6" w:rsidRPr="00213C28" w:rsidRDefault="00F217C6" w:rsidP="00F217C6">
      <w:pPr>
        <w:rPr>
          <w:rFonts w:ascii="Times New Roman" w:eastAsia="Lucida Sans Unicode" w:hAnsi="Times New Roman" w:cs="Mangal"/>
          <w:kern w:val="2"/>
          <w:sz w:val="24"/>
          <w:szCs w:val="24"/>
          <w:lang w:eastAsia="hi-IN" w:bidi="hi-IN"/>
        </w:rPr>
      </w:pPr>
      <w:r w:rsidRPr="00213C28">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F217C6" w:rsidRPr="00213C28" w:rsidRDefault="00F217C6" w:rsidP="00F217C6">
      <w:pPr>
        <w:rPr>
          <w:sz w:val="24"/>
          <w:szCs w:val="24"/>
        </w:rPr>
      </w:pPr>
    </w:p>
    <w:p w:rsidR="00F217C6" w:rsidRPr="00213C28" w:rsidRDefault="00F217C6" w:rsidP="00F217C6">
      <w:pPr>
        <w:rPr>
          <w:rFonts w:ascii="Times New Roman" w:hAnsi="Times New Roman"/>
          <w:bCs/>
          <w:sz w:val="24"/>
          <w:szCs w:val="24"/>
          <w:u w:val="single"/>
        </w:rPr>
      </w:pPr>
      <w:r w:rsidRPr="00213C28">
        <w:rPr>
          <w:rFonts w:ascii="Times New Roman" w:hAnsi="Times New Roman"/>
          <w:b/>
          <w:bCs/>
          <w:sz w:val="24"/>
          <w:szCs w:val="24"/>
          <w:u w:val="single"/>
        </w:rPr>
        <w:t>Срок отгрузки</w:t>
      </w:r>
      <w:r w:rsidRPr="008E58A8">
        <w:rPr>
          <w:rFonts w:ascii="Times New Roman" w:hAnsi="Times New Roman"/>
          <w:b/>
          <w:bCs/>
          <w:sz w:val="24"/>
          <w:szCs w:val="24"/>
          <w:u w:val="single"/>
        </w:rPr>
        <w:t xml:space="preserve">:  </w:t>
      </w:r>
      <w:r w:rsidRPr="008E58A8">
        <w:rPr>
          <w:rFonts w:ascii="Times New Roman" w:hAnsi="Times New Roman"/>
          <w:bCs/>
          <w:sz w:val="24"/>
          <w:szCs w:val="24"/>
          <w:u w:val="single"/>
        </w:rPr>
        <w:t xml:space="preserve">не позднее </w:t>
      </w:r>
      <w:r w:rsidR="00777689">
        <w:rPr>
          <w:rFonts w:ascii="Times New Roman" w:hAnsi="Times New Roman"/>
          <w:bCs/>
          <w:sz w:val="24"/>
          <w:szCs w:val="24"/>
          <w:u w:val="single"/>
        </w:rPr>
        <w:t>7-8 недель</w:t>
      </w:r>
      <w:r w:rsidRPr="008E58A8">
        <w:rPr>
          <w:rFonts w:ascii="Times New Roman" w:hAnsi="Times New Roman"/>
          <w:bCs/>
          <w:sz w:val="24"/>
          <w:szCs w:val="24"/>
          <w:u w:val="single"/>
        </w:rPr>
        <w:t xml:space="preserve"> после предварительной оплаты</w:t>
      </w:r>
    </w:p>
    <w:p w:rsidR="00F217C6" w:rsidRPr="00213C28" w:rsidRDefault="00F217C6" w:rsidP="00F217C6">
      <w:pPr>
        <w:rPr>
          <w:rFonts w:ascii="Times New Roman" w:hAnsi="Times New Roman"/>
          <w:bCs/>
          <w:sz w:val="24"/>
          <w:szCs w:val="24"/>
        </w:rPr>
      </w:pPr>
      <w:r w:rsidRPr="00213C28">
        <w:rPr>
          <w:rFonts w:ascii="Times New Roman" w:hAnsi="Times New Roman"/>
          <w:b/>
          <w:bCs/>
          <w:sz w:val="24"/>
          <w:szCs w:val="24"/>
          <w:u w:val="single"/>
        </w:rPr>
        <w:t>Место поставки</w:t>
      </w:r>
      <w:r>
        <w:rPr>
          <w:rFonts w:ascii="Times New Roman" w:hAnsi="Times New Roman"/>
          <w:bCs/>
          <w:sz w:val="24"/>
          <w:szCs w:val="24"/>
        </w:rPr>
        <w:t xml:space="preserve">: </w:t>
      </w:r>
      <w:r w:rsidRPr="00213C28">
        <w:rPr>
          <w:rFonts w:ascii="Times New Roman" w:hAnsi="Times New Roman"/>
          <w:bCs/>
          <w:sz w:val="24"/>
          <w:szCs w:val="24"/>
        </w:rPr>
        <w:t xml:space="preserve"> </w:t>
      </w:r>
      <w:r w:rsidR="00777689">
        <w:rPr>
          <w:rFonts w:ascii="Times New Roman" w:hAnsi="Times New Roman"/>
          <w:bCs/>
          <w:sz w:val="24"/>
          <w:szCs w:val="24"/>
        </w:rPr>
        <w:t>самовывоз со склада «Поставщика» (Санкт-Петербург)</w:t>
      </w:r>
    </w:p>
    <w:p w:rsidR="00003C96" w:rsidRPr="00465E26" w:rsidRDefault="00003C96" w:rsidP="000202C4">
      <w:pPr>
        <w:pStyle w:val="af6"/>
        <w:jc w:val="center"/>
        <w:rPr>
          <w:rFonts w:ascii="Times New Roman" w:hAnsi="Times New Roman"/>
          <w:b/>
          <w:szCs w:val="24"/>
        </w:rPr>
      </w:pPr>
    </w:p>
    <w:p w:rsidR="007D7F83" w:rsidRPr="00465E26" w:rsidRDefault="007D7F83" w:rsidP="009E610C">
      <w:pPr>
        <w:pStyle w:val="af6"/>
        <w:jc w:val="center"/>
        <w:rPr>
          <w:rFonts w:ascii="Times New Roman" w:hAnsi="Times New Roman"/>
          <w:b/>
          <w:szCs w:val="24"/>
        </w:rPr>
      </w:pPr>
    </w:p>
    <w:sectPr w:rsidR="007D7F83" w:rsidRPr="00465E26"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E9" w:rsidRDefault="00E464E9" w:rsidP="00B41620">
      <w:pPr>
        <w:spacing w:after="0" w:line="240" w:lineRule="auto"/>
      </w:pPr>
      <w:r>
        <w:separator/>
      </w:r>
    </w:p>
  </w:endnote>
  <w:endnote w:type="continuationSeparator" w:id="0">
    <w:p w:rsidR="00E464E9" w:rsidRDefault="00E464E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E9" w:rsidRDefault="00E464E9">
    <w:pPr>
      <w:pStyle w:val="aff"/>
      <w:jc w:val="right"/>
    </w:pPr>
    <w:r>
      <w:fldChar w:fldCharType="begin"/>
    </w:r>
    <w:r>
      <w:instrText xml:space="preserve"> PAGE   \* MERGEFORMAT </w:instrText>
    </w:r>
    <w:r>
      <w:fldChar w:fldCharType="separate"/>
    </w:r>
    <w:r w:rsidR="007A0002">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E9" w:rsidRDefault="00E464E9" w:rsidP="00B41620">
      <w:pPr>
        <w:spacing w:after="0" w:line="240" w:lineRule="auto"/>
      </w:pPr>
      <w:r>
        <w:separator/>
      </w:r>
    </w:p>
  </w:footnote>
  <w:footnote w:type="continuationSeparator" w:id="0">
    <w:p w:rsidR="00E464E9" w:rsidRDefault="00E464E9" w:rsidP="00B41620">
      <w:pPr>
        <w:spacing w:after="0" w:line="240" w:lineRule="auto"/>
      </w:pPr>
      <w:r>
        <w:continuationSeparator/>
      </w:r>
    </w:p>
  </w:footnote>
  <w:footnote w:id="1">
    <w:p w:rsidR="00E464E9" w:rsidRPr="00EA7BD1" w:rsidRDefault="00E464E9">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C96"/>
    <w:rsid w:val="00005249"/>
    <w:rsid w:val="0000748C"/>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1ADF"/>
    <w:rsid w:val="00071E62"/>
    <w:rsid w:val="00076123"/>
    <w:rsid w:val="00084764"/>
    <w:rsid w:val="00091B1E"/>
    <w:rsid w:val="00091EA1"/>
    <w:rsid w:val="00093684"/>
    <w:rsid w:val="000941A2"/>
    <w:rsid w:val="00094928"/>
    <w:rsid w:val="000A48EA"/>
    <w:rsid w:val="000A6495"/>
    <w:rsid w:val="000B1568"/>
    <w:rsid w:val="000C500F"/>
    <w:rsid w:val="000C6860"/>
    <w:rsid w:val="000D1179"/>
    <w:rsid w:val="000D527F"/>
    <w:rsid w:val="000E2190"/>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421D"/>
    <w:rsid w:val="0018782D"/>
    <w:rsid w:val="001A5E82"/>
    <w:rsid w:val="001B07D6"/>
    <w:rsid w:val="001B21AA"/>
    <w:rsid w:val="001B4D7B"/>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0221"/>
    <w:rsid w:val="00291D69"/>
    <w:rsid w:val="00296A52"/>
    <w:rsid w:val="002A779C"/>
    <w:rsid w:val="002B1A99"/>
    <w:rsid w:val="002B355E"/>
    <w:rsid w:val="002B4962"/>
    <w:rsid w:val="002C0A75"/>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2C42"/>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9A"/>
    <w:rsid w:val="005B7E0A"/>
    <w:rsid w:val="005C1A12"/>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6C08"/>
    <w:rsid w:val="007707E6"/>
    <w:rsid w:val="00776B0B"/>
    <w:rsid w:val="00777689"/>
    <w:rsid w:val="0078542A"/>
    <w:rsid w:val="007A0002"/>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C4D"/>
    <w:rsid w:val="00884186"/>
    <w:rsid w:val="00884C3E"/>
    <w:rsid w:val="008867EC"/>
    <w:rsid w:val="00895BFF"/>
    <w:rsid w:val="00897217"/>
    <w:rsid w:val="008A50E3"/>
    <w:rsid w:val="008B7240"/>
    <w:rsid w:val="008C699D"/>
    <w:rsid w:val="008D1D31"/>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4031"/>
    <w:rsid w:val="009E606D"/>
    <w:rsid w:val="009E610C"/>
    <w:rsid w:val="009F1BA0"/>
    <w:rsid w:val="00A02A61"/>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F47C0"/>
    <w:rsid w:val="00B175A2"/>
    <w:rsid w:val="00B31E5E"/>
    <w:rsid w:val="00B41620"/>
    <w:rsid w:val="00B5011B"/>
    <w:rsid w:val="00B509A2"/>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166BF"/>
    <w:rsid w:val="00D27ADB"/>
    <w:rsid w:val="00D30B90"/>
    <w:rsid w:val="00D3253D"/>
    <w:rsid w:val="00D401C2"/>
    <w:rsid w:val="00D41BA5"/>
    <w:rsid w:val="00D420CD"/>
    <w:rsid w:val="00D42550"/>
    <w:rsid w:val="00D54414"/>
    <w:rsid w:val="00D55882"/>
    <w:rsid w:val="00D60C41"/>
    <w:rsid w:val="00D62C41"/>
    <w:rsid w:val="00D6471A"/>
    <w:rsid w:val="00D64726"/>
    <w:rsid w:val="00D73DAF"/>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4E9"/>
    <w:rsid w:val="00E4678E"/>
    <w:rsid w:val="00E47868"/>
    <w:rsid w:val="00E554E4"/>
    <w:rsid w:val="00E57685"/>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17C6"/>
    <w:rsid w:val="00F2387D"/>
    <w:rsid w:val="00F23FF2"/>
    <w:rsid w:val="00F35CCD"/>
    <w:rsid w:val="00F41F93"/>
    <w:rsid w:val="00F640B0"/>
    <w:rsid w:val="00F70091"/>
    <w:rsid w:val="00F71927"/>
    <w:rsid w:val="00F74686"/>
    <w:rsid w:val="00F77BA4"/>
    <w:rsid w:val="00F83451"/>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5062040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197284495">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593588421">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64008745">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35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861B-E077-487A-8479-422E0F63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31</Pages>
  <Words>10682</Words>
  <Characters>73449</Characters>
  <Application>Microsoft Office Word</Application>
  <DocSecurity>0</DocSecurity>
  <Lines>612</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46</cp:revision>
  <cp:lastPrinted>2017-01-27T10:48:00Z</cp:lastPrinted>
  <dcterms:created xsi:type="dcterms:W3CDTF">2014-05-13T13:03:00Z</dcterms:created>
  <dcterms:modified xsi:type="dcterms:W3CDTF">2017-01-30T13:53:00Z</dcterms:modified>
</cp:coreProperties>
</file>